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C27358" w:rsidRDefault="00045FF9" w:rsidP="00045FF9">
      <w:pPr>
        <w:pStyle w:val="BodyText"/>
        <w:contextualSpacing/>
        <w:jc w:val="center"/>
        <w:rPr>
          <w:rFonts w:ascii="Times New Roman" w:hAnsi="Times New Roman" w:cs="Times New Roman"/>
          <w:sz w:val="22"/>
          <w:szCs w:val="22"/>
          <w:lang w:val="es-US"/>
        </w:rPr>
      </w:pPr>
      <w:r w:rsidRPr="00C27358">
        <w:rPr>
          <w:rFonts w:ascii="Times New Roman" w:hAnsi="Times New Roman"/>
          <w:noProof/>
          <w:sz w:val="22"/>
          <w:lang w:val="es-US"/>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10829082" w:rsidR="00045FF9" w:rsidRPr="00C27358" w:rsidRDefault="00045FF9" w:rsidP="00045FF9">
      <w:pPr>
        <w:pStyle w:val="BodyText"/>
        <w:spacing w:before="4"/>
        <w:contextualSpacing/>
        <w:jc w:val="center"/>
        <w:rPr>
          <w:rFonts w:ascii="Times New Roman" w:hAnsi="Times New Roman" w:cs="Times New Roman"/>
          <w:b/>
          <w:sz w:val="22"/>
          <w:szCs w:val="22"/>
          <w:lang w:val="es-US"/>
        </w:rPr>
      </w:pPr>
      <w:r w:rsidRPr="00C27358">
        <w:rPr>
          <w:rFonts w:ascii="Times New Roman" w:hAnsi="Times New Roman"/>
          <w:noProof/>
          <w:sz w:val="22"/>
          <w:lang w:val="es-US"/>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sidRPr="00C27358">
        <w:rPr>
          <w:rFonts w:ascii="Times New Roman" w:hAnsi="Times New Roman"/>
          <w:b/>
          <w:sz w:val="22"/>
          <w:lang w:val="es-US"/>
        </w:rPr>
        <w:t>Política de cumplimiento de la Directiva de denunciantes de la Unión Europea</w:t>
      </w:r>
    </w:p>
    <w:p w14:paraId="62428DE3" w14:textId="5093742A" w:rsidR="00045FF9" w:rsidRPr="00C27358" w:rsidRDefault="00045FF9" w:rsidP="00B5092D">
      <w:pPr>
        <w:pStyle w:val="BodyText"/>
        <w:tabs>
          <w:tab w:val="left" w:pos="5040"/>
        </w:tabs>
        <w:spacing w:before="4"/>
        <w:contextualSpacing/>
        <w:rPr>
          <w:rFonts w:ascii="Times New Roman" w:hAnsi="Times New Roman" w:cs="Times New Roman"/>
          <w:sz w:val="22"/>
          <w:szCs w:val="22"/>
          <w:lang w:val="es-US"/>
        </w:rPr>
      </w:pPr>
      <w:r w:rsidRPr="00C27358">
        <w:rPr>
          <w:rFonts w:ascii="Times New Roman" w:hAnsi="Times New Roman"/>
          <w:noProof/>
          <w:sz w:val="22"/>
          <w:lang w:val="es-US"/>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sidRPr="00C27358">
        <w:rPr>
          <w:rFonts w:ascii="Times New Roman" w:hAnsi="Times New Roman"/>
          <w:b/>
          <w:sz w:val="22"/>
          <w:lang w:val="es-US"/>
        </w:rPr>
        <w:t xml:space="preserve">Categoría: </w:t>
      </w:r>
      <w:r w:rsidRPr="00C27358">
        <w:rPr>
          <w:rFonts w:ascii="Times New Roman" w:hAnsi="Times New Roman"/>
          <w:sz w:val="22"/>
          <w:lang w:val="es-US"/>
        </w:rPr>
        <w:t>Área funcional</w:t>
      </w:r>
      <w:r w:rsidRPr="00C27358">
        <w:rPr>
          <w:rFonts w:ascii="Times New Roman" w:hAnsi="Times New Roman"/>
          <w:sz w:val="22"/>
          <w:lang w:val="es-US"/>
        </w:rPr>
        <w:tab/>
      </w:r>
      <w:r w:rsidRPr="00C27358">
        <w:rPr>
          <w:rFonts w:ascii="Times New Roman" w:hAnsi="Times New Roman"/>
          <w:b/>
          <w:sz w:val="22"/>
          <w:lang w:val="es-US"/>
        </w:rPr>
        <w:t xml:space="preserve">Fecha establecida: </w:t>
      </w:r>
      <w:proofErr w:type="gramStart"/>
      <w:r w:rsidRPr="00C27358">
        <w:rPr>
          <w:lang w:val="es-US"/>
        </w:rPr>
        <w:t>Agosto</w:t>
      </w:r>
      <w:proofErr w:type="gramEnd"/>
      <w:r w:rsidRPr="00C27358">
        <w:rPr>
          <w:lang w:val="es-US"/>
        </w:rPr>
        <w:t xml:space="preserve"> de 2022</w:t>
      </w:r>
    </w:p>
    <w:p w14:paraId="2E4A1C2D" w14:textId="067A8397" w:rsidR="00045FF9" w:rsidRPr="00C27358" w:rsidRDefault="00045FF9" w:rsidP="00B5092D">
      <w:pPr>
        <w:tabs>
          <w:tab w:val="left" w:pos="5040"/>
          <w:tab w:val="left" w:pos="5670"/>
        </w:tabs>
        <w:contextualSpacing/>
        <w:rPr>
          <w:rFonts w:ascii="Times New Roman" w:hAnsi="Times New Roman" w:cs="Times New Roman"/>
          <w:b/>
          <w:lang w:val="es-US"/>
        </w:rPr>
      </w:pPr>
      <w:r w:rsidRPr="00C27358">
        <w:rPr>
          <w:rFonts w:ascii="Times New Roman" w:hAnsi="Times New Roman"/>
          <w:b/>
          <w:lang w:val="es-US"/>
        </w:rPr>
        <w:t xml:space="preserve">Departamento responsable: </w:t>
      </w:r>
      <w:r w:rsidRPr="00C27358">
        <w:rPr>
          <w:rFonts w:ascii="Times New Roman" w:hAnsi="Times New Roman"/>
          <w:lang w:val="es-US"/>
        </w:rPr>
        <w:t>Nombre del departamento</w:t>
      </w:r>
      <w:r w:rsidRPr="00C27358">
        <w:rPr>
          <w:rFonts w:ascii="Times New Roman" w:hAnsi="Times New Roman"/>
          <w:lang w:val="es-US"/>
        </w:rPr>
        <w:tab/>
      </w:r>
      <w:r w:rsidRPr="00C27358">
        <w:rPr>
          <w:rFonts w:ascii="Times New Roman" w:hAnsi="Times New Roman"/>
          <w:b/>
          <w:lang w:val="es-US"/>
        </w:rPr>
        <w:t xml:space="preserve"> Fecha de la última revisión: </w:t>
      </w:r>
      <w:proofErr w:type="gramStart"/>
      <w:r w:rsidRPr="00C27358">
        <w:rPr>
          <w:rFonts w:ascii="Times New Roman" w:hAnsi="Times New Roman"/>
          <w:lang w:val="es-US"/>
        </w:rPr>
        <w:t>Agosto</w:t>
      </w:r>
      <w:proofErr w:type="gramEnd"/>
      <w:r w:rsidRPr="00C27358">
        <w:rPr>
          <w:rFonts w:ascii="Times New Roman" w:hAnsi="Times New Roman"/>
          <w:lang w:val="es-US"/>
        </w:rPr>
        <w:t xml:space="preserve"> de 2022</w:t>
      </w:r>
    </w:p>
    <w:p w14:paraId="6C27B499" w14:textId="45885676" w:rsidR="00045FF9" w:rsidRPr="00C27358" w:rsidRDefault="00045FF9" w:rsidP="00E42E8D">
      <w:pPr>
        <w:tabs>
          <w:tab w:val="left" w:pos="5040"/>
          <w:tab w:val="left" w:pos="5940"/>
        </w:tabs>
        <w:spacing w:before="120"/>
        <w:ind w:left="5040" w:hanging="5040"/>
        <w:contextualSpacing/>
        <w:rPr>
          <w:rFonts w:ascii="Times New Roman" w:hAnsi="Times New Roman" w:cs="Times New Roman"/>
          <w:bCs/>
          <w:lang w:val="es-US"/>
        </w:rPr>
      </w:pPr>
      <w:r w:rsidRPr="00C27358">
        <w:rPr>
          <w:rFonts w:ascii="Times New Roman" w:hAnsi="Times New Roman"/>
          <w:b/>
          <w:lang w:val="es-US"/>
        </w:rPr>
        <w:t xml:space="preserve">Ejecutivo responsable: </w:t>
      </w:r>
      <w:r w:rsidRPr="00C27358">
        <w:rPr>
          <w:rFonts w:ascii="Times New Roman" w:hAnsi="Times New Roman"/>
          <w:lang w:val="es-US"/>
        </w:rPr>
        <w:t>Ehsan Zargar</w:t>
      </w:r>
      <w:r w:rsidRPr="00C27358">
        <w:rPr>
          <w:rFonts w:ascii="Times New Roman" w:hAnsi="Times New Roman"/>
          <w:b/>
          <w:lang w:val="es-US"/>
        </w:rPr>
        <w:tab/>
        <w:t xml:space="preserve">Fecha de publicación en </w:t>
      </w:r>
      <w:r w:rsidR="00E42E8D">
        <w:rPr>
          <w:rFonts w:ascii="Times New Roman" w:hAnsi="Times New Roman"/>
          <w:b/>
          <w:lang w:val="es-US"/>
        </w:rPr>
        <w:br/>
      </w:r>
      <w:r w:rsidRPr="00C27358">
        <w:rPr>
          <w:rFonts w:ascii="Times New Roman" w:hAnsi="Times New Roman"/>
          <w:b/>
          <w:lang w:val="es-US"/>
        </w:rPr>
        <w:t xml:space="preserve">la Biblioteca SPB: </w:t>
      </w:r>
      <w:proofErr w:type="gramStart"/>
      <w:r w:rsidRPr="00C27358">
        <w:rPr>
          <w:rFonts w:ascii="Times New Roman" w:hAnsi="Times New Roman"/>
          <w:lang w:val="es-US"/>
        </w:rPr>
        <w:t>Agosto</w:t>
      </w:r>
      <w:proofErr w:type="gramEnd"/>
      <w:r w:rsidRPr="00C27358">
        <w:rPr>
          <w:rFonts w:ascii="Times New Roman" w:hAnsi="Times New Roman"/>
          <w:lang w:val="es-US"/>
        </w:rPr>
        <w:t xml:space="preserve"> de 2022</w:t>
      </w:r>
    </w:p>
    <w:p w14:paraId="4A485202" w14:textId="77777777" w:rsidR="00045FF9" w:rsidRPr="00C27358" w:rsidRDefault="00045FF9" w:rsidP="00045FF9">
      <w:pPr>
        <w:tabs>
          <w:tab w:val="left" w:pos="5490"/>
          <w:tab w:val="left" w:pos="5940"/>
        </w:tabs>
        <w:spacing w:before="120"/>
        <w:contextualSpacing/>
        <w:rPr>
          <w:rFonts w:ascii="Times New Roman" w:hAnsi="Times New Roman" w:cs="Times New Roman"/>
          <w:lang w:val="es-US"/>
        </w:rPr>
      </w:pPr>
    </w:p>
    <w:tbl>
      <w:tblPr>
        <w:tblStyle w:val="TableGrid"/>
        <w:tblW w:w="9450" w:type="dxa"/>
        <w:tblInd w:w="108" w:type="dxa"/>
        <w:tblLook w:val="04A0" w:firstRow="1" w:lastRow="0" w:firstColumn="1" w:lastColumn="0" w:noHBand="0" w:noVBand="1"/>
      </w:tblPr>
      <w:tblGrid>
        <w:gridCol w:w="9450"/>
      </w:tblGrid>
      <w:tr w:rsidR="00045FF9" w:rsidRPr="00C27358" w14:paraId="49CE261A" w14:textId="77777777" w:rsidTr="009E7712">
        <w:trPr>
          <w:trHeight w:val="260"/>
        </w:trPr>
        <w:tc>
          <w:tcPr>
            <w:tcW w:w="9450" w:type="dxa"/>
          </w:tcPr>
          <w:p w14:paraId="537EFD74" w14:textId="77777777" w:rsidR="00045FF9" w:rsidRPr="00C27358" w:rsidRDefault="00045FF9" w:rsidP="009E7712">
            <w:pPr>
              <w:pStyle w:val="BodyText"/>
              <w:spacing w:before="123"/>
              <w:contextualSpacing/>
              <w:jc w:val="both"/>
              <w:rPr>
                <w:rFonts w:ascii="Times New Roman" w:hAnsi="Times New Roman" w:cs="Times New Roman"/>
                <w:b/>
                <w:bCs/>
                <w:sz w:val="22"/>
                <w:szCs w:val="22"/>
                <w:lang w:val="es-US"/>
              </w:rPr>
            </w:pPr>
            <w:r w:rsidRPr="00C27358">
              <w:rPr>
                <w:rFonts w:ascii="Times New Roman" w:hAnsi="Times New Roman"/>
                <w:b/>
                <w:sz w:val="22"/>
                <w:lang w:val="es-US"/>
              </w:rPr>
              <w:t>Resumen</w:t>
            </w:r>
          </w:p>
        </w:tc>
      </w:tr>
    </w:tbl>
    <w:p w14:paraId="0498A0EB" w14:textId="77777777" w:rsidR="00045FF9" w:rsidRPr="00C27358" w:rsidRDefault="00045FF9" w:rsidP="00045FF9">
      <w:pPr>
        <w:pStyle w:val="BodyText"/>
        <w:contextualSpacing/>
        <w:rPr>
          <w:rFonts w:ascii="Times New Roman" w:hAnsi="Times New Roman" w:cs="Times New Roman"/>
          <w:sz w:val="22"/>
          <w:szCs w:val="22"/>
          <w:lang w:val="es-US"/>
        </w:rPr>
      </w:pPr>
    </w:p>
    <w:p w14:paraId="6E62194E" w14:textId="7E80CA84" w:rsidR="00045FF9" w:rsidRPr="00C27358" w:rsidRDefault="00045FF9" w:rsidP="00B5092D">
      <w:pPr>
        <w:pStyle w:val="BodyText"/>
        <w:tabs>
          <w:tab w:val="left" w:pos="5040"/>
        </w:tabs>
        <w:spacing w:before="123"/>
        <w:contextualSpacing/>
        <w:jc w:val="both"/>
        <w:rPr>
          <w:rFonts w:ascii="Times New Roman" w:hAnsi="Times New Roman" w:cs="Times New Roman"/>
          <w:sz w:val="22"/>
          <w:szCs w:val="22"/>
          <w:lang w:val="es-US"/>
        </w:rPr>
      </w:pPr>
      <w:r w:rsidRPr="00C27358">
        <w:rPr>
          <w:rFonts w:ascii="Times New Roman" w:hAnsi="Times New Roman"/>
          <w:sz w:val="22"/>
          <w:lang w:val="es-US"/>
        </w:rPr>
        <w:t>Esta Política de cumplimiento de la Directiva de denunciantes de la Unión Europea (la "</w:t>
      </w:r>
      <w:r w:rsidRPr="00C27358">
        <w:rPr>
          <w:rFonts w:ascii="Times New Roman" w:hAnsi="Times New Roman"/>
          <w:sz w:val="22"/>
          <w:u w:val="single"/>
          <w:lang w:val="es-US"/>
        </w:rPr>
        <w:t>Política</w:t>
      </w:r>
      <w:r w:rsidRPr="00C27358">
        <w:rPr>
          <w:rFonts w:ascii="Times New Roman" w:hAnsi="Times New Roman"/>
          <w:sz w:val="22"/>
          <w:lang w:val="es-US"/>
        </w:rPr>
        <w:t>") establece la política de Spectrum Brands Holdings, Inc. y sus filiales y subsidiarias controladas (colectivamente, "</w:t>
      </w:r>
      <w:r w:rsidRPr="00C27358">
        <w:rPr>
          <w:rFonts w:ascii="Times New Roman" w:hAnsi="Times New Roman"/>
          <w:sz w:val="22"/>
          <w:u w:val="single"/>
          <w:lang w:val="es-US"/>
        </w:rPr>
        <w:t>Spectrum Brands</w:t>
      </w:r>
      <w:r w:rsidRPr="00C27358">
        <w:rPr>
          <w:rFonts w:ascii="Times New Roman" w:hAnsi="Times New Roman"/>
          <w:sz w:val="22"/>
          <w:lang w:val="es-US"/>
        </w:rPr>
        <w:t>" o la "</w:t>
      </w:r>
      <w:r w:rsidRPr="00C27358">
        <w:rPr>
          <w:rFonts w:ascii="Times New Roman" w:hAnsi="Times New Roman"/>
          <w:sz w:val="22"/>
          <w:u w:val="single"/>
          <w:lang w:val="es-US"/>
        </w:rPr>
        <w:t>Compañía</w:t>
      </w:r>
      <w:r w:rsidRPr="00C27358">
        <w:rPr>
          <w:rFonts w:ascii="Times New Roman" w:hAnsi="Times New Roman"/>
          <w:sz w:val="22"/>
          <w:lang w:val="es-US"/>
        </w:rPr>
        <w:t>") con el fin de cumplir plenamente con la Directiva de la Unión Europea ("</w:t>
      </w:r>
      <w:r w:rsidRPr="00C27358">
        <w:rPr>
          <w:rFonts w:ascii="Times New Roman" w:hAnsi="Times New Roman"/>
          <w:sz w:val="22"/>
          <w:u w:val="single"/>
          <w:lang w:val="es-US"/>
        </w:rPr>
        <w:t>UE</w:t>
      </w:r>
      <w:r w:rsidRPr="00C27358">
        <w:rPr>
          <w:rFonts w:ascii="Times New Roman" w:hAnsi="Times New Roman"/>
          <w:sz w:val="22"/>
          <w:lang w:val="es-US"/>
        </w:rPr>
        <w:t>"</w:t>
      </w:r>
      <w:r w:rsidRPr="00C27358">
        <w:rPr>
          <w:rFonts w:ascii="Times New Roman" w:hAnsi="Times New Roman"/>
          <w:sz w:val="22"/>
          <w:u w:val="single"/>
          <w:lang w:val="es-US"/>
        </w:rPr>
        <w:t>)</w:t>
      </w:r>
      <w:r w:rsidRPr="00C27358">
        <w:rPr>
          <w:rFonts w:ascii="Times New Roman" w:hAnsi="Times New Roman"/>
          <w:sz w:val="22"/>
          <w:lang w:val="es-US"/>
        </w:rPr>
        <w:t xml:space="preserve"> 2019/1937, la Directiva de la UE sobre denunciantes (la "</w:t>
      </w:r>
      <w:r w:rsidRPr="00C27358">
        <w:rPr>
          <w:rFonts w:ascii="Times New Roman" w:hAnsi="Times New Roman"/>
          <w:sz w:val="22"/>
          <w:u w:val="single"/>
          <w:lang w:val="es-US"/>
        </w:rPr>
        <w:t>Directiva</w:t>
      </w:r>
      <w:r w:rsidRPr="00C27358">
        <w:rPr>
          <w:rFonts w:ascii="Times New Roman" w:hAnsi="Times New Roman"/>
          <w:sz w:val="22"/>
          <w:lang w:val="es-US"/>
        </w:rPr>
        <w:t>"). Esta Política guía tanto a los Denunciantes, según se define en esta Política, como a los responsables de recibir, investigar y dar seguimiento a las denuncias de conformidad con esta Política.</w:t>
      </w:r>
    </w:p>
    <w:p w14:paraId="4471BF8B" w14:textId="77777777" w:rsidR="00045FF9" w:rsidRPr="00C27358" w:rsidRDefault="00045FF9" w:rsidP="00045FF9">
      <w:pPr>
        <w:pStyle w:val="BodyText"/>
        <w:contextualSpacing/>
        <w:rPr>
          <w:rFonts w:ascii="Times New Roman" w:hAnsi="Times New Roman" w:cs="Times New Roman"/>
          <w:sz w:val="22"/>
          <w:szCs w:val="22"/>
          <w:lang w:val="es-US"/>
        </w:rPr>
      </w:pPr>
    </w:p>
    <w:tbl>
      <w:tblPr>
        <w:tblStyle w:val="TableGrid"/>
        <w:tblW w:w="9450" w:type="dxa"/>
        <w:tblInd w:w="108" w:type="dxa"/>
        <w:tblLook w:val="04A0" w:firstRow="1" w:lastRow="0" w:firstColumn="1" w:lastColumn="0" w:noHBand="0" w:noVBand="1"/>
      </w:tblPr>
      <w:tblGrid>
        <w:gridCol w:w="9450"/>
      </w:tblGrid>
      <w:tr w:rsidR="00045FF9" w:rsidRPr="00C27358" w14:paraId="2FF750D8" w14:textId="77777777" w:rsidTr="009E7712">
        <w:tc>
          <w:tcPr>
            <w:tcW w:w="9450" w:type="dxa"/>
          </w:tcPr>
          <w:p w14:paraId="5ACE1B39" w14:textId="77777777" w:rsidR="00045FF9" w:rsidRPr="00C27358" w:rsidRDefault="00045FF9" w:rsidP="009E7712">
            <w:pPr>
              <w:pStyle w:val="BodyText"/>
              <w:contextualSpacing/>
              <w:rPr>
                <w:rFonts w:ascii="Times New Roman" w:hAnsi="Times New Roman" w:cs="Times New Roman"/>
                <w:b/>
                <w:bCs/>
                <w:sz w:val="22"/>
                <w:szCs w:val="22"/>
                <w:lang w:val="es-US"/>
              </w:rPr>
            </w:pPr>
            <w:r w:rsidRPr="00C27358">
              <w:rPr>
                <w:rFonts w:ascii="Times New Roman" w:hAnsi="Times New Roman"/>
                <w:b/>
                <w:sz w:val="22"/>
                <w:lang w:val="es-US"/>
              </w:rPr>
              <w:t>Alcance</w:t>
            </w:r>
          </w:p>
        </w:tc>
      </w:tr>
    </w:tbl>
    <w:p w14:paraId="3DE540F7" w14:textId="77777777" w:rsidR="00045FF9" w:rsidRPr="00C27358" w:rsidRDefault="00045FF9" w:rsidP="00045FF9">
      <w:pPr>
        <w:pStyle w:val="BodyText"/>
        <w:contextualSpacing/>
        <w:rPr>
          <w:rFonts w:ascii="Times New Roman" w:hAnsi="Times New Roman" w:cs="Times New Roman"/>
          <w:sz w:val="22"/>
          <w:szCs w:val="22"/>
          <w:lang w:val="es-US"/>
        </w:rPr>
      </w:pPr>
    </w:p>
    <w:p w14:paraId="28F7947F" w14:textId="68187354" w:rsidR="00986018" w:rsidRPr="00C27358" w:rsidRDefault="00045FF9" w:rsidP="00986018">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 xml:space="preserve">Esta Política se aplica a todos los empleados de Spectrum Brands que trabajan en la </w:t>
      </w:r>
      <w:r w:rsidR="00C27358" w:rsidRPr="00C27358">
        <w:rPr>
          <w:rFonts w:ascii="Times New Roman" w:hAnsi="Times New Roman"/>
          <w:sz w:val="22"/>
          <w:lang w:val="es-US"/>
        </w:rPr>
        <w:t>Unión</w:t>
      </w:r>
      <w:r w:rsidRPr="00C27358">
        <w:rPr>
          <w:rFonts w:ascii="Times New Roman" w:hAnsi="Times New Roman"/>
          <w:sz w:val="22"/>
          <w:lang w:val="es-US"/>
        </w:rPr>
        <w:t xml:space="preserve"> Europea, incluidos los empleados a tiempo completo, a tiempo parcial, temporales, estacionales o de tiempo limitado, así como los becarios o contratistas que actúan en nombre de Spectrum Brands. La Política también protege a las personas que aún no están empleadas por Spectrum Brands si la información que desean denunciar se adquiere durante el proceso de contratación o las negociaciones precontractuales. Algunos países pueden tener requisitos en leyes locales que difieran o van más allá de los requisitos de esta Política. Cuando ese sea el caso, se aplicará adicionalmente cualquier ley o política local aplicable.  Es poco probable que surja un conflicto entre una ley local aplicable y esta Política, pero, en caso de que haya un conflicto o si se identificara alguno, informe a Spectrum Brands y, en cualquier caso, la ley local tendrá prioridad sobre un requisito conflictivo contenido en esta Política. La Política no puede ni pretende cubrir todas las leyes aplicables ni proporcionar respuestas a todas las preguntas que puedan surgir; para ello, en última instancia, debemos confiar en el planteamiento diligente de cada persona para determinar qué es lo correcto, incluido el sentido de cuándo es apropiado buscar la orientación de otros sobre la conducta adecuada.</w:t>
      </w:r>
    </w:p>
    <w:p w14:paraId="1EFA1D0C" w14:textId="391E7364" w:rsidR="00045FF9" w:rsidRPr="00C27358" w:rsidRDefault="00DE2E3A" w:rsidP="00045FF9">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 xml:space="preserve"> </w:t>
      </w:r>
    </w:p>
    <w:p w14:paraId="7C391C9D" w14:textId="77777777" w:rsidR="00045FF9" w:rsidRPr="00C27358" w:rsidRDefault="00045FF9" w:rsidP="00045FF9">
      <w:pPr>
        <w:pStyle w:val="BodyText"/>
        <w:contextualSpacing/>
        <w:rPr>
          <w:rFonts w:ascii="Times New Roman" w:hAnsi="Times New Roman" w:cs="Times New Roman"/>
          <w:sz w:val="22"/>
          <w:szCs w:val="22"/>
          <w:lang w:val="es-US"/>
        </w:rPr>
      </w:pPr>
    </w:p>
    <w:tbl>
      <w:tblPr>
        <w:tblStyle w:val="TableGrid"/>
        <w:tblW w:w="9540" w:type="dxa"/>
        <w:tblInd w:w="18" w:type="dxa"/>
        <w:tblLook w:val="04A0" w:firstRow="1" w:lastRow="0" w:firstColumn="1" w:lastColumn="0" w:noHBand="0" w:noVBand="1"/>
      </w:tblPr>
      <w:tblGrid>
        <w:gridCol w:w="9540"/>
      </w:tblGrid>
      <w:tr w:rsidR="00045FF9" w:rsidRPr="00C27358" w14:paraId="7869AE2E" w14:textId="77777777" w:rsidTr="009E7712">
        <w:tc>
          <w:tcPr>
            <w:tcW w:w="9540" w:type="dxa"/>
          </w:tcPr>
          <w:p w14:paraId="360BA946" w14:textId="77777777" w:rsidR="00045FF9" w:rsidRPr="00C27358" w:rsidRDefault="00045FF9" w:rsidP="009E7712">
            <w:pPr>
              <w:pStyle w:val="BodyText"/>
              <w:spacing w:before="220"/>
              <w:contextualSpacing/>
              <w:jc w:val="both"/>
              <w:rPr>
                <w:rFonts w:ascii="Times New Roman" w:hAnsi="Times New Roman" w:cs="Times New Roman"/>
                <w:b/>
                <w:bCs/>
                <w:sz w:val="22"/>
                <w:szCs w:val="22"/>
                <w:lang w:val="es-US"/>
              </w:rPr>
            </w:pPr>
            <w:r w:rsidRPr="00C27358">
              <w:rPr>
                <w:rFonts w:ascii="Times New Roman" w:hAnsi="Times New Roman"/>
                <w:b/>
                <w:sz w:val="22"/>
                <w:lang w:val="es-US"/>
              </w:rPr>
              <w:t>Cumplimiento de la política</w:t>
            </w:r>
          </w:p>
        </w:tc>
      </w:tr>
    </w:tbl>
    <w:p w14:paraId="094C0D0E" w14:textId="77777777" w:rsidR="00045FF9" w:rsidRPr="00C27358" w:rsidRDefault="00045FF9" w:rsidP="00045FF9">
      <w:pPr>
        <w:pStyle w:val="BodyText"/>
        <w:spacing w:before="2"/>
        <w:contextualSpacing/>
        <w:rPr>
          <w:rFonts w:ascii="Times New Roman" w:hAnsi="Times New Roman" w:cs="Times New Roman"/>
          <w:bCs/>
          <w:sz w:val="22"/>
          <w:szCs w:val="22"/>
          <w:lang w:val="es-US"/>
        </w:rPr>
      </w:pPr>
    </w:p>
    <w:p w14:paraId="459D8CC1" w14:textId="77777777" w:rsidR="00045FF9" w:rsidRPr="00C27358"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lang w:val="es-US"/>
        </w:rPr>
      </w:pPr>
      <w:r w:rsidRPr="00C27358">
        <w:rPr>
          <w:rFonts w:ascii="Times New Roman" w:hAnsi="Times New Roman"/>
          <w:sz w:val="22"/>
          <w:lang w:val="es-US"/>
        </w:rPr>
        <w:t>Antecedentes y resumen</w:t>
      </w:r>
    </w:p>
    <w:p w14:paraId="482DAA92" w14:textId="77777777" w:rsidR="00045FF9" w:rsidRPr="00C27358" w:rsidRDefault="00045FF9" w:rsidP="00045FF9">
      <w:pPr>
        <w:pStyle w:val="BodyText"/>
        <w:spacing w:before="2"/>
        <w:contextualSpacing/>
        <w:rPr>
          <w:rFonts w:ascii="Times New Roman" w:hAnsi="Times New Roman" w:cs="Times New Roman"/>
          <w:bCs/>
          <w:sz w:val="22"/>
          <w:szCs w:val="22"/>
          <w:lang w:val="es-US"/>
        </w:rPr>
      </w:pPr>
    </w:p>
    <w:p w14:paraId="02565860" w14:textId="341FC85C" w:rsidR="003763E3" w:rsidRPr="00C27358" w:rsidRDefault="00087D6C" w:rsidP="00045FF9">
      <w:pPr>
        <w:pStyle w:val="BodyText"/>
        <w:spacing w:before="2"/>
        <w:contextualSpacing/>
        <w:jc w:val="both"/>
        <w:rPr>
          <w:rFonts w:ascii="Times New Roman" w:eastAsia="Times New Roman" w:hAnsi="Times New Roman" w:cs="Times New Roman"/>
          <w:spacing w:val="8"/>
          <w:sz w:val="22"/>
          <w:szCs w:val="22"/>
          <w:lang w:val="es-US"/>
        </w:rPr>
      </w:pPr>
      <w:r w:rsidRPr="00C27358">
        <w:rPr>
          <w:rFonts w:ascii="Times New Roman" w:hAnsi="Times New Roman"/>
          <w:sz w:val="22"/>
          <w:lang w:val="es-US"/>
        </w:rPr>
        <w:t>"</w:t>
      </w:r>
      <w:r w:rsidRPr="00C27358">
        <w:rPr>
          <w:rFonts w:ascii="Times New Roman" w:hAnsi="Times New Roman"/>
          <w:sz w:val="22"/>
          <w:u w:val="single"/>
          <w:lang w:val="es-US"/>
        </w:rPr>
        <w:t>Denunciantes</w:t>
      </w:r>
      <w:r w:rsidRPr="00C27358">
        <w:rPr>
          <w:rFonts w:ascii="Times New Roman" w:hAnsi="Times New Roman"/>
          <w:sz w:val="22"/>
          <w:lang w:val="es-US"/>
        </w:rPr>
        <w:t>" son las personas que denuncian infracciones de las leyes o normativas de la UE relativas, en particular, pero no exclusivamente, a los siguientes ámbitos: (i) contratación pública; (</w:t>
      </w:r>
      <w:proofErr w:type="spellStart"/>
      <w:r w:rsidRPr="00C27358">
        <w:rPr>
          <w:rFonts w:ascii="Times New Roman" w:hAnsi="Times New Roman"/>
          <w:sz w:val="22"/>
          <w:lang w:val="es-US"/>
        </w:rPr>
        <w:t>ii</w:t>
      </w:r>
      <w:proofErr w:type="spellEnd"/>
      <w:r w:rsidRPr="00C27358">
        <w:rPr>
          <w:rFonts w:ascii="Times New Roman" w:hAnsi="Times New Roman"/>
          <w:sz w:val="22"/>
          <w:lang w:val="es-US"/>
        </w:rPr>
        <w:t>) servicios financieros, productos y mercados, y prevención del blanqueo de capitales o de la financiación del terrorismo; (</w:t>
      </w:r>
      <w:proofErr w:type="spellStart"/>
      <w:r w:rsidRPr="00C27358">
        <w:rPr>
          <w:rFonts w:ascii="Times New Roman" w:hAnsi="Times New Roman"/>
          <w:sz w:val="22"/>
          <w:lang w:val="es-US"/>
        </w:rPr>
        <w:t>iii</w:t>
      </w:r>
      <w:proofErr w:type="spellEnd"/>
      <w:r w:rsidRPr="00C27358">
        <w:rPr>
          <w:rFonts w:ascii="Times New Roman" w:hAnsi="Times New Roman"/>
          <w:sz w:val="22"/>
          <w:lang w:val="es-US"/>
        </w:rPr>
        <w:t>) seguridad y cumplimiento de los productos; (</w:t>
      </w:r>
      <w:proofErr w:type="spellStart"/>
      <w:r w:rsidRPr="00C27358">
        <w:rPr>
          <w:rFonts w:ascii="Times New Roman" w:hAnsi="Times New Roman"/>
          <w:sz w:val="22"/>
          <w:lang w:val="es-US"/>
        </w:rPr>
        <w:t>iv</w:t>
      </w:r>
      <w:proofErr w:type="spellEnd"/>
      <w:r w:rsidRPr="00C27358">
        <w:rPr>
          <w:rFonts w:ascii="Times New Roman" w:hAnsi="Times New Roman"/>
          <w:sz w:val="22"/>
          <w:lang w:val="es-US"/>
        </w:rPr>
        <w:t>) seguridad del transporte; (v) protección del medio ambiente; (vi) protección radiológica y seguridad nuclear; (</w:t>
      </w:r>
      <w:proofErr w:type="spellStart"/>
      <w:r w:rsidRPr="00C27358">
        <w:rPr>
          <w:rFonts w:ascii="Times New Roman" w:hAnsi="Times New Roman"/>
          <w:sz w:val="22"/>
          <w:lang w:val="es-US"/>
        </w:rPr>
        <w:t>vii</w:t>
      </w:r>
      <w:proofErr w:type="spellEnd"/>
      <w:r w:rsidRPr="00C27358">
        <w:rPr>
          <w:rFonts w:ascii="Times New Roman" w:hAnsi="Times New Roman"/>
          <w:sz w:val="22"/>
          <w:lang w:val="es-US"/>
        </w:rPr>
        <w:t>) seguridad alimentaria y de los piensos, incluidas la salud y el bienestar de los animales; (</w:t>
      </w:r>
      <w:proofErr w:type="spellStart"/>
      <w:r w:rsidRPr="00C27358">
        <w:rPr>
          <w:rFonts w:ascii="Times New Roman" w:hAnsi="Times New Roman"/>
          <w:sz w:val="22"/>
          <w:lang w:val="es-US"/>
        </w:rPr>
        <w:t>viii</w:t>
      </w:r>
      <w:proofErr w:type="spellEnd"/>
      <w:r w:rsidRPr="00C27358">
        <w:rPr>
          <w:rFonts w:ascii="Times New Roman" w:hAnsi="Times New Roman"/>
          <w:sz w:val="22"/>
          <w:lang w:val="es-US"/>
        </w:rPr>
        <w:t>) salud pública; (</w:t>
      </w:r>
      <w:proofErr w:type="spellStart"/>
      <w:r w:rsidRPr="00C27358">
        <w:rPr>
          <w:rFonts w:ascii="Times New Roman" w:hAnsi="Times New Roman"/>
          <w:sz w:val="22"/>
          <w:lang w:val="es-US"/>
        </w:rPr>
        <w:t>ix</w:t>
      </w:r>
      <w:proofErr w:type="spellEnd"/>
      <w:r w:rsidRPr="00C27358">
        <w:rPr>
          <w:rFonts w:ascii="Times New Roman" w:hAnsi="Times New Roman"/>
          <w:sz w:val="22"/>
          <w:lang w:val="es-US"/>
        </w:rPr>
        <w:t>) protección de los consumidores; (x) protección de la privacidad y de los datos personales, incluida la seguridad de las redes y de los sistemas de información; (xi) infracciones que afectan a los intereses financieros de la UE; (</w:t>
      </w:r>
      <w:proofErr w:type="spellStart"/>
      <w:r w:rsidRPr="00C27358">
        <w:rPr>
          <w:rFonts w:ascii="Times New Roman" w:hAnsi="Times New Roman"/>
          <w:sz w:val="22"/>
          <w:lang w:val="es-US"/>
        </w:rPr>
        <w:t>xii</w:t>
      </w:r>
      <w:proofErr w:type="spellEnd"/>
      <w:r w:rsidRPr="00C27358">
        <w:rPr>
          <w:rFonts w:ascii="Times New Roman" w:hAnsi="Times New Roman"/>
          <w:sz w:val="22"/>
          <w:lang w:val="es-US"/>
        </w:rPr>
        <w:t xml:space="preserve">) otras infracciones relacionadas con el mercado interior de la UE, incluidas las normas de la UE sobre </w:t>
      </w:r>
      <w:r w:rsidRPr="00C27358">
        <w:rPr>
          <w:rFonts w:ascii="Times New Roman" w:hAnsi="Times New Roman"/>
          <w:sz w:val="22"/>
          <w:lang w:val="es-US"/>
        </w:rPr>
        <w:lastRenderedPageBreak/>
        <w:t>competencia y ayudas estatales (denominadas colectivamente una "</w:t>
      </w:r>
      <w:r w:rsidRPr="00C27358">
        <w:rPr>
          <w:rFonts w:ascii="Times New Roman" w:hAnsi="Times New Roman"/>
          <w:sz w:val="22"/>
          <w:u w:val="single"/>
          <w:lang w:val="es-US"/>
        </w:rPr>
        <w:t>Infracción</w:t>
      </w:r>
      <w:r w:rsidRPr="00C27358">
        <w:rPr>
          <w:rFonts w:ascii="Times New Roman" w:hAnsi="Times New Roman"/>
          <w:sz w:val="22"/>
          <w:lang w:val="es-US"/>
        </w:rPr>
        <w:t>").</w:t>
      </w:r>
    </w:p>
    <w:p w14:paraId="77CB4636" w14:textId="1937D2CA" w:rsidR="00A474CF" w:rsidRPr="00C27358" w:rsidRDefault="00A474CF" w:rsidP="00045FF9">
      <w:pPr>
        <w:pStyle w:val="BodyText"/>
        <w:spacing w:before="2"/>
        <w:contextualSpacing/>
        <w:jc w:val="both"/>
        <w:rPr>
          <w:rFonts w:ascii="Times New Roman" w:eastAsia="Times New Roman" w:hAnsi="Times New Roman" w:cs="Times New Roman"/>
          <w:spacing w:val="8"/>
          <w:sz w:val="22"/>
          <w:szCs w:val="22"/>
          <w:lang w:val="es-US"/>
        </w:rPr>
      </w:pPr>
    </w:p>
    <w:p w14:paraId="0D9E4064" w14:textId="77777777" w:rsidR="00DA0B59" w:rsidRPr="00C27358" w:rsidRDefault="00DA0B59" w:rsidP="00045FF9">
      <w:pPr>
        <w:pStyle w:val="BodyText"/>
        <w:spacing w:before="2"/>
        <w:contextualSpacing/>
        <w:jc w:val="both"/>
        <w:rPr>
          <w:rFonts w:ascii="Times New Roman" w:eastAsia="Times New Roman" w:hAnsi="Times New Roman" w:cs="Times New Roman"/>
          <w:spacing w:val="8"/>
          <w:sz w:val="22"/>
          <w:szCs w:val="22"/>
          <w:lang w:val="es-US"/>
        </w:rPr>
      </w:pPr>
    </w:p>
    <w:p w14:paraId="0DC37618" w14:textId="07053D3B" w:rsidR="00A474CF" w:rsidRPr="00C27358" w:rsidRDefault="00B94D47" w:rsidP="00045FF9">
      <w:pPr>
        <w:pStyle w:val="BodyText"/>
        <w:spacing w:before="2"/>
        <w:contextualSpacing/>
        <w:jc w:val="both"/>
        <w:rPr>
          <w:rFonts w:ascii="Times New Roman" w:eastAsia="Times New Roman" w:hAnsi="Times New Roman" w:cs="Times New Roman"/>
          <w:spacing w:val="8"/>
          <w:sz w:val="22"/>
          <w:szCs w:val="22"/>
          <w:lang w:val="es-US"/>
        </w:rPr>
      </w:pPr>
      <w:r w:rsidRPr="00C27358">
        <w:rPr>
          <w:rFonts w:ascii="Times New Roman" w:hAnsi="Times New Roman"/>
          <w:sz w:val="22"/>
          <w:lang w:val="es-US"/>
        </w:rPr>
        <w:t>Los estados miembros de la UE tienen autoridad para extender la protección en virtud de sus leyes nacionales a áreas no enumeradas anteriormente. Esta Política se actualizará a medida que los diversos estados miembros implementen la Directiva a través de sus leyes nacionales, y las protecciones descritas por esta Política pueden ser más amplias dependiendo de la ubicación de la entidad de Spectrum Brands que la emplea. Para las personas responsables de investigar los informes, los procedimientos para cada entidad de Spectrum Brands pueden variar según el estado miembro en el que se encuentra la entidad de Spectrum Brands. Puede haber una variación sustancial entre la implementación de la Directiva en varios estados miembros de la UE y, por lo tanto, entre las diversas entidades de la Compañía sujetas a esta Política. Si un empleado no está seguro de qué Directiva o requisito se aplica en un país o situación específica, debe ponerse en contacto con el Equipo de gestión jurídica y de riesgos (</w:t>
      </w:r>
      <w:r w:rsidRPr="00C27358">
        <w:rPr>
          <w:rFonts w:ascii="Times New Roman" w:hAnsi="Times New Roman"/>
          <w:i/>
          <w:iCs/>
          <w:sz w:val="22"/>
          <w:lang w:val="es-US"/>
        </w:rPr>
        <w:t xml:space="preserve">Legal and </w:t>
      </w:r>
      <w:proofErr w:type="spellStart"/>
      <w:r w:rsidRPr="00C27358">
        <w:rPr>
          <w:rFonts w:ascii="Times New Roman" w:hAnsi="Times New Roman"/>
          <w:i/>
          <w:iCs/>
          <w:sz w:val="22"/>
          <w:lang w:val="es-US"/>
        </w:rPr>
        <w:t>Risk</w:t>
      </w:r>
      <w:proofErr w:type="spellEnd"/>
      <w:r w:rsidRPr="00C27358">
        <w:rPr>
          <w:rFonts w:ascii="Times New Roman" w:hAnsi="Times New Roman"/>
          <w:i/>
          <w:iCs/>
          <w:sz w:val="22"/>
          <w:lang w:val="es-US"/>
        </w:rPr>
        <w:t xml:space="preserve"> Management Team</w:t>
      </w:r>
      <w:r w:rsidRPr="00C27358">
        <w:rPr>
          <w:rFonts w:ascii="Times New Roman" w:hAnsi="Times New Roman"/>
          <w:sz w:val="22"/>
          <w:lang w:val="es-US"/>
        </w:rPr>
        <w:t xml:space="preserve">, LRM). </w:t>
      </w:r>
    </w:p>
    <w:p w14:paraId="432FCEE0" w14:textId="77777777" w:rsidR="00895FD3" w:rsidRPr="00C27358" w:rsidRDefault="00895FD3" w:rsidP="00045FF9">
      <w:pPr>
        <w:pStyle w:val="BodyText"/>
        <w:spacing w:before="9"/>
        <w:contextualSpacing/>
        <w:rPr>
          <w:rFonts w:ascii="Times New Roman" w:hAnsi="Times New Roman" w:cs="Times New Roman"/>
          <w:bCs/>
          <w:sz w:val="22"/>
          <w:szCs w:val="22"/>
          <w:lang w:val="es-US"/>
        </w:rPr>
      </w:pPr>
    </w:p>
    <w:p w14:paraId="79853285" w14:textId="40D2AAC7" w:rsidR="00045FF9" w:rsidRPr="00C27358" w:rsidRDefault="00B7529F" w:rsidP="00DA0B59">
      <w:pPr>
        <w:pStyle w:val="BodyText"/>
        <w:numPr>
          <w:ilvl w:val="0"/>
          <w:numId w:val="1"/>
        </w:numPr>
        <w:spacing w:before="9"/>
        <w:ind w:left="720"/>
        <w:contextualSpacing/>
        <w:jc w:val="both"/>
        <w:rPr>
          <w:rFonts w:ascii="Times New Roman" w:hAnsi="Times New Roman" w:cs="Times New Roman"/>
          <w:sz w:val="22"/>
          <w:szCs w:val="22"/>
          <w:lang w:val="es-US"/>
        </w:rPr>
      </w:pPr>
      <w:r w:rsidRPr="00C27358">
        <w:rPr>
          <w:rFonts w:ascii="Times New Roman" w:hAnsi="Times New Roman"/>
          <w:b/>
          <w:sz w:val="22"/>
          <w:lang w:val="es-US"/>
        </w:rPr>
        <w:t>Condiciones para la protección en virtud de la Política</w:t>
      </w:r>
    </w:p>
    <w:p w14:paraId="05F012C1" w14:textId="77777777" w:rsidR="00045FF9" w:rsidRPr="00C27358" w:rsidRDefault="00045FF9" w:rsidP="00045FF9">
      <w:pPr>
        <w:pStyle w:val="BodyText"/>
        <w:spacing w:before="9"/>
        <w:contextualSpacing/>
        <w:jc w:val="both"/>
        <w:rPr>
          <w:rFonts w:ascii="Times New Roman" w:hAnsi="Times New Roman" w:cs="Times New Roman"/>
          <w:sz w:val="22"/>
          <w:szCs w:val="22"/>
          <w:lang w:val="es-US"/>
        </w:rPr>
      </w:pPr>
    </w:p>
    <w:p w14:paraId="4FE0F582" w14:textId="2177DE2A" w:rsidR="00045FF9" w:rsidRPr="00C27358" w:rsidRDefault="00A47C10" w:rsidP="00B7529F">
      <w:pPr>
        <w:pStyle w:val="BodyText"/>
        <w:spacing w:before="9"/>
        <w:contextualSpacing/>
        <w:jc w:val="both"/>
        <w:rPr>
          <w:rFonts w:ascii="Times New Roman" w:hAnsi="Times New Roman" w:cs="Times New Roman"/>
          <w:b/>
          <w:sz w:val="22"/>
          <w:szCs w:val="22"/>
          <w:lang w:val="es-US"/>
        </w:rPr>
      </w:pPr>
      <w:r w:rsidRPr="00C27358">
        <w:rPr>
          <w:rFonts w:ascii="Times New Roman" w:hAnsi="Times New Roman"/>
          <w:sz w:val="22"/>
          <w:lang w:val="es-US"/>
        </w:rPr>
        <w:t>Los denunciantes califican para la protección siempre que tengan motivos razonables para creer que la información que tenían con respecto a una Infracción era verdadera en el momento en que la denunciaron, que se encontraba dentro del alcance de esta Política y de la Directiva, y que denunciaron esa información ya sea internamente de acuerdo con esta Política, o externamente tal y como se describe en las leyes del estado miembro de la UE donde se encuentra la entidad de Spectrum Brands que los emplea.</w:t>
      </w:r>
    </w:p>
    <w:p w14:paraId="043751A6" w14:textId="77777777" w:rsidR="00045FF9" w:rsidRPr="00C27358" w:rsidRDefault="00045FF9" w:rsidP="00045FF9">
      <w:pPr>
        <w:pStyle w:val="BodyText"/>
        <w:spacing w:before="9"/>
        <w:contextualSpacing/>
        <w:rPr>
          <w:rFonts w:ascii="Times New Roman" w:hAnsi="Times New Roman" w:cs="Times New Roman"/>
          <w:bCs/>
          <w:sz w:val="22"/>
          <w:szCs w:val="22"/>
          <w:lang w:val="es-US"/>
        </w:rPr>
      </w:pPr>
    </w:p>
    <w:p w14:paraId="5944037A" w14:textId="7992BD60" w:rsidR="00045FF9" w:rsidRPr="00C27358"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lang w:val="es-US"/>
        </w:rPr>
      </w:pPr>
      <w:r w:rsidRPr="00C27358">
        <w:rPr>
          <w:rFonts w:ascii="Times New Roman" w:hAnsi="Times New Roman"/>
          <w:sz w:val="22"/>
          <w:lang w:val="es-US"/>
        </w:rPr>
        <w:t>Procedimientos internos de denuncia;</w:t>
      </w:r>
    </w:p>
    <w:p w14:paraId="214645AD" w14:textId="77777777" w:rsidR="00045FF9" w:rsidRPr="00C27358"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lang w:val="es-US"/>
        </w:rPr>
      </w:pPr>
    </w:p>
    <w:p w14:paraId="1FEBB5F9" w14:textId="05A96709" w:rsidR="00045FF9" w:rsidRPr="00C27358" w:rsidRDefault="0007294D" w:rsidP="00045FF9">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 xml:space="preserve">Spectrum Brands proporciona un canal interno de denuncia para los Denunciantes que es confidencial, seguro y permite la presentación de denuncias escritas y verbales </w:t>
      </w:r>
      <w:proofErr w:type="gramStart"/>
      <w:r w:rsidRPr="00C27358">
        <w:rPr>
          <w:rFonts w:ascii="Times New Roman" w:hAnsi="Times New Roman"/>
          <w:sz w:val="22"/>
          <w:lang w:val="es-US"/>
        </w:rPr>
        <w:t>en relación a</w:t>
      </w:r>
      <w:proofErr w:type="gramEnd"/>
      <w:r w:rsidRPr="00C27358">
        <w:rPr>
          <w:rFonts w:ascii="Times New Roman" w:hAnsi="Times New Roman"/>
          <w:sz w:val="22"/>
          <w:lang w:val="es-US"/>
        </w:rPr>
        <w:t xml:space="preserve"> una Infracción. Hay una línea de ayuda disponible las 24 horas en el 1-866-384-4277, y un sitio web, </w:t>
      </w:r>
      <w:hyperlink r:id="rId9" w:history="1">
        <w:r w:rsidRPr="00C27358">
          <w:rPr>
            <w:rStyle w:val="Hyperlink"/>
            <w:rFonts w:ascii="Times New Roman" w:hAnsi="Times New Roman"/>
            <w:sz w:val="22"/>
            <w:lang w:val="es-US"/>
          </w:rPr>
          <w:t>https://secure.ethicspoint.com/domain/media/en/gui/7424/index.html</w:t>
        </w:r>
      </w:hyperlink>
      <w:r w:rsidRPr="00C27358">
        <w:rPr>
          <w:rFonts w:ascii="Times New Roman" w:hAnsi="Times New Roman"/>
          <w:sz w:val="22"/>
          <w:lang w:val="es-US"/>
        </w:rPr>
        <w:t>. La persona o personas responsables de recibir una denuncia por parte de un Denunciante deberán proporcionar un acuse de recibo al Denunciante de dicha denuncia en un plazo de siete (7) días calendario a partir de la recepción de la denuncia original.</w:t>
      </w:r>
    </w:p>
    <w:p w14:paraId="2191B3BB" w14:textId="6DA8D769" w:rsidR="00FD1805" w:rsidRPr="00C27358" w:rsidRDefault="00FD1805" w:rsidP="00045FF9">
      <w:pPr>
        <w:pStyle w:val="BodyText"/>
        <w:contextualSpacing/>
        <w:jc w:val="both"/>
        <w:rPr>
          <w:rFonts w:ascii="Times New Roman" w:hAnsi="Times New Roman" w:cs="Times New Roman"/>
          <w:sz w:val="22"/>
          <w:szCs w:val="22"/>
          <w:lang w:val="es-US"/>
        </w:rPr>
      </w:pPr>
    </w:p>
    <w:p w14:paraId="015CC61E" w14:textId="5396AABE" w:rsidR="00FD1805" w:rsidRPr="00C27358" w:rsidRDefault="00FD1805" w:rsidP="00045FF9">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Una persona o departamento imparcial dentro de Spectrum Brands (el "</w:t>
      </w:r>
      <w:r w:rsidRPr="00C27358">
        <w:rPr>
          <w:rFonts w:ascii="Times New Roman" w:hAnsi="Times New Roman"/>
          <w:sz w:val="22"/>
          <w:u w:val="single"/>
          <w:lang w:val="es-US"/>
        </w:rPr>
        <w:t>Investigador</w:t>
      </w:r>
      <w:r w:rsidRPr="00C27358">
        <w:rPr>
          <w:rFonts w:ascii="Times New Roman" w:hAnsi="Times New Roman"/>
          <w:sz w:val="22"/>
          <w:lang w:val="es-US"/>
        </w:rPr>
        <w:t>") será responsable de dar seguimiento e investigar la denuncia, incluida la adquisición de más información y proporcionar retroalimentación al Denunciante. El Investigador puede ser la misma persona o estar dentro del mismo departamento al que se le hizo la denuncia inicial.</w:t>
      </w:r>
    </w:p>
    <w:p w14:paraId="67FA50FD" w14:textId="0901F8D8" w:rsidR="00AB1C0F" w:rsidRPr="00C27358" w:rsidRDefault="00AB1C0F" w:rsidP="00045FF9">
      <w:pPr>
        <w:pStyle w:val="BodyText"/>
        <w:contextualSpacing/>
        <w:jc w:val="both"/>
        <w:rPr>
          <w:rFonts w:ascii="Times New Roman" w:hAnsi="Times New Roman" w:cs="Times New Roman"/>
          <w:sz w:val="22"/>
          <w:szCs w:val="22"/>
          <w:lang w:val="es-US"/>
        </w:rPr>
      </w:pPr>
    </w:p>
    <w:p w14:paraId="2BB41E68" w14:textId="0FC3D531" w:rsidR="00AB1C0F" w:rsidRPr="00C27358" w:rsidRDefault="00C808EC" w:rsidP="00045FF9">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El Investigador hará un seguimiento de manera diligente con el Denunciante para acusar recibo de la denuncia, pero en cualquier caso a más tardar siete (7) días después de recibir la denuncia inicial. A continuación, el Investigador completará diligentemente una investigación exhaustiva de las afirmaciones y de la información en la denuncia. Dicha investigación puede implicar, entre otras acciones, hablar con el Denunciante, así como trabajar de forma independiente para verificar las afirmaciones hechas en la denuncia. El Investigador también se pondrá en contacto con el Director Jurídico de Spectrum Brands o su persona designada para alertarles sobre la presentación de una denuncia, las medidas que se han tomado y el estado de la investigación.</w:t>
      </w:r>
    </w:p>
    <w:p w14:paraId="73FB9996" w14:textId="164006EE" w:rsidR="00BA0885" w:rsidRPr="00C27358" w:rsidRDefault="00BA0885" w:rsidP="00045FF9">
      <w:pPr>
        <w:pStyle w:val="BodyText"/>
        <w:contextualSpacing/>
        <w:jc w:val="both"/>
        <w:rPr>
          <w:rFonts w:ascii="Times New Roman" w:hAnsi="Times New Roman" w:cs="Times New Roman"/>
          <w:sz w:val="22"/>
          <w:szCs w:val="22"/>
          <w:lang w:val="es-US"/>
        </w:rPr>
      </w:pPr>
    </w:p>
    <w:p w14:paraId="4490A156" w14:textId="47C78FAC" w:rsidR="00045FF9" w:rsidRPr="00C27358" w:rsidRDefault="00B1349F" w:rsidP="004B33CA">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Dentro de un plazo razonable, pero no más de tres (3) meses después de que el Investigador acusara recibo de la denuncia, el Investigador proporcionará retroalimentación al Denunciante con respecto a los resultados de la investigación y los pasos que se han tomado o se tomarán para remediar cualquier irregularidad confirmada por la investigación.</w:t>
      </w:r>
    </w:p>
    <w:p w14:paraId="70A21D88" w14:textId="1653CBAB" w:rsidR="00471D64" w:rsidRPr="00C27358" w:rsidRDefault="00471D64" w:rsidP="004B33CA">
      <w:pPr>
        <w:pStyle w:val="BodyText"/>
        <w:contextualSpacing/>
        <w:jc w:val="both"/>
        <w:rPr>
          <w:rFonts w:ascii="Times New Roman" w:hAnsi="Times New Roman" w:cs="Times New Roman"/>
          <w:sz w:val="22"/>
          <w:szCs w:val="22"/>
          <w:lang w:val="es-US"/>
        </w:rPr>
      </w:pPr>
    </w:p>
    <w:p w14:paraId="27B909E8" w14:textId="45C01BB0" w:rsidR="00471D64" w:rsidRPr="00C27358" w:rsidRDefault="00471D64" w:rsidP="004B33CA">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La identidad, incluida la información que pueda identificar la identidad, del Denunciante no debe divulgarse a nadie más allá del Investigador sin el consentimiento explícito por escrito del Denunciante, o a menos que se requiera para cumplir o investigar los requisitos de la ley aplicable.  La identidad del Denunciante solo podrá divulgarse cuando sea necesario debido a una obligación legal impuesta por el Derecho de la UE o el Derecho de otro Estado miembro, incluida cualquier divulgación requerida en cualquier procedimiento judicial.</w:t>
      </w:r>
    </w:p>
    <w:p w14:paraId="7B8A494A" w14:textId="367A417A" w:rsidR="00045FF9" w:rsidRPr="00C27358" w:rsidRDefault="00045FF9" w:rsidP="00045FF9">
      <w:pPr>
        <w:pStyle w:val="BodyText"/>
        <w:contextualSpacing/>
        <w:jc w:val="both"/>
        <w:rPr>
          <w:rFonts w:ascii="Times New Roman" w:eastAsia="Times New Roman" w:hAnsi="Times New Roman" w:cs="Times New Roman"/>
          <w:spacing w:val="8"/>
          <w:sz w:val="22"/>
          <w:szCs w:val="22"/>
          <w:lang w:val="es-US"/>
        </w:rPr>
      </w:pPr>
    </w:p>
    <w:p w14:paraId="032A8F0D" w14:textId="72802DE7" w:rsidR="00045FF9" w:rsidRPr="00C27358"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lang w:val="es-US"/>
        </w:rPr>
      </w:pPr>
      <w:r w:rsidRPr="00C27358">
        <w:rPr>
          <w:rFonts w:ascii="Times New Roman" w:hAnsi="Times New Roman"/>
          <w:sz w:val="22"/>
          <w:lang w:val="es-US"/>
        </w:rPr>
        <w:t>Canales de denuncia externos</w:t>
      </w:r>
    </w:p>
    <w:p w14:paraId="12BEA03F" w14:textId="77777777" w:rsidR="00045FF9" w:rsidRPr="00C27358" w:rsidRDefault="00045FF9" w:rsidP="00045FF9">
      <w:pPr>
        <w:pStyle w:val="BodyText"/>
        <w:contextualSpacing/>
        <w:jc w:val="both"/>
        <w:rPr>
          <w:rFonts w:ascii="Times New Roman" w:eastAsia="Times New Roman" w:hAnsi="Times New Roman" w:cs="Times New Roman"/>
          <w:spacing w:val="8"/>
          <w:sz w:val="22"/>
          <w:szCs w:val="22"/>
          <w:lang w:val="es-US"/>
        </w:rPr>
      </w:pPr>
    </w:p>
    <w:p w14:paraId="36163F0C" w14:textId="75F313F0" w:rsidR="00045FF9" w:rsidRPr="00C27358" w:rsidRDefault="003806A0" w:rsidP="00045FF9">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Los estados miembros de la UE tienen la obligación, en virtud de la Directiva, de establecer sus propios canales de denuncia de infracciones.  Los Denunciantes pueden optar por denunciar a través de estos canales de denuncia externos. La disponibilidad, las políticas y los procedimientos de estos canales de denuncia externos variarán dependiendo del estado miembro de la UE donde se encuentre el Denunciante.</w:t>
      </w:r>
    </w:p>
    <w:p w14:paraId="22B83920" w14:textId="10744CD5" w:rsidR="00026666" w:rsidRPr="00C27358" w:rsidRDefault="00026666" w:rsidP="00045FF9">
      <w:pPr>
        <w:pStyle w:val="BodyText"/>
        <w:contextualSpacing/>
        <w:jc w:val="both"/>
        <w:rPr>
          <w:rFonts w:ascii="Times New Roman" w:hAnsi="Times New Roman" w:cs="Times New Roman"/>
          <w:sz w:val="22"/>
          <w:szCs w:val="22"/>
          <w:lang w:val="es-US"/>
        </w:rPr>
      </w:pPr>
    </w:p>
    <w:p w14:paraId="58B43070" w14:textId="142C73F3" w:rsidR="00026666" w:rsidRPr="00C27358" w:rsidRDefault="00026666" w:rsidP="00045FF9">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Si bien los Denunciantes pueden denunciar a través de canales de denuncia internos o externos, Spectrum Brands alienta la presentación de denuncias a través de canales de denuncia internos primero, de conformidad con esta Política.</w:t>
      </w:r>
    </w:p>
    <w:p w14:paraId="0E7D75A5" w14:textId="77777777" w:rsidR="00045FF9" w:rsidRPr="00C27358" w:rsidRDefault="00045FF9" w:rsidP="00045FF9">
      <w:pPr>
        <w:pStyle w:val="BodyText"/>
        <w:contextualSpacing/>
        <w:jc w:val="both"/>
        <w:rPr>
          <w:rFonts w:ascii="Times New Roman" w:hAnsi="Times New Roman" w:cs="Times New Roman"/>
          <w:sz w:val="22"/>
          <w:szCs w:val="22"/>
          <w:lang w:val="es-US"/>
        </w:rPr>
      </w:pPr>
    </w:p>
    <w:p w14:paraId="54A72783" w14:textId="60B1136B" w:rsidR="00BF79DE" w:rsidRPr="00C27358" w:rsidRDefault="00764232" w:rsidP="00DA0B59">
      <w:pPr>
        <w:pStyle w:val="BodyText"/>
        <w:numPr>
          <w:ilvl w:val="0"/>
          <w:numId w:val="1"/>
        </w:numPr>
        <w:ind w:left="720"/>
        <w:contextualSpacing/>
        <w:jc w:val="both"/>
        <w:rPr>
          <w:rFonts w:ascii="Times New Roman" w:hAnsi="Times New Roman" w:cs="Times New Roman"/>
          <w:sz w:val="22"/>
          <w:szCs w:val="22"/>
          <w:lang w:val="es-US"/>
        </w:rPr>
      </w:pPr>
      <w:r w:rsidRPr="00C27358">
        <w:rPr>
          <w:rFonts w:ascii="Times New Roman" w:hAnsi="Times New Roman"/>
          <w:b/>
          <w:sz w:val="22"/>
          <w:lang w:val="es-US"/>
        </w:rPr>
        <w:t>Prohibición de represalias</w:t>
      </w:r>
    </w:p>
    <w:p w14:paraId="14D58889" w14:textId="68769165" w:rsidR="00764232" w:rsidRPr="00C27358" w:rsidRDefault="00764232" w:rsidP="00764232">
      <w:pPr>
        <w:pStyle w:val="BodyText"/>
        <w:contextualSpacing/>
        <w:jc w:val="both"/>
        <w:rPr>
          <w:rFonts w:ascii="Times New Roman" w:hAnsi="Times New Roman" w:cs="Times New Roman"/>
          <w:sz w:val="22"/>
          <w:szCs w:val="22"/>
          <w:lang w:val="es-US"/>
        </w:rPr>
      </w:pPr>
    </w:p>
    <w:p w14:paraId="27B4B406" w14:textId="0950D8B3" w:rsidR="00764232" w:rsidRPr="00C27358" w:rsidRDefault="007F2295" w:rsidP="00764232">
      <w:pPr>
        <w:pStyle w:val="BodyText"/>
        <w:contextualSpacing/>
        <w:jc w:val="both"/>
        <w:rPr>
          <w:rFonts w:ascii="Times New Roman" w:hAnsi="Times New Roman" w:cs="Times New Roman"/>
          <w:sz w:val="22"/>
          <w:szCs w:val="22"/>
          <w:lang w:val="es-US"/>
        </w:rPr>
      </w:pPr>
      <w:proofErr w:type="gramStart"/>
      <w:r w:rsidRPr="00C27358">
        <w:rPr>
          <w:rFonts w:ascii="Times New Roman" w:hAnsi="Times New Roman"/>
          <w:sz w:val="22"/>
          <w:lang w:val="es-US"/>
        </w:rPr>
        <w:t>Bajo ninguna circunstancia</w:t>
      </w:r>
      <w:proofErr w:type="gramEnd"/>
      <w:r w:rsidRPr="00C27358">
        <w:rPr>
          <w:rFonts w:ascii="Times New Roman" w:hAnsi="Times New Roman"/>
          <w:sz w:val="22"/>
          <w:lang w:val="es-US"/>
        </w:rPr>
        <w:t xml:space="preserve"> ningún empleado, accionista o persona que trabaje en nombre de Spectrum Brands tomará represalias de ninguna manera contra ningún Denunciante por haber presentado una denuncia. Esto incluye, entre otras, las siguientes acciones: (i) suspensión, cese, despido, o equivalente, (</w:t>
      </w:r>
      <w:proofErr w:type="spellStart"/>
      <w:r w:rsidRPr="00C27358">
        <w:rPr>
          <w:rFonts w:ascii="Times New Roman" w:hAnsi="Times New Roman"/>
          <w:sz w:val="22"/>
          <w:lang w:val="es-US"/>
        </w:rPr>
        <w:t>ii</w:t>
      </w:r>
      <w:proofErr w:type="spellEnd"/>
      <w:r w:rsidRPr="00C27358">
        <w:rPr>
          <w:rFonts w:ascii="Times New Roman" w:hAnsi="Times New Roman"/>
          <w:sz w:val="22"/>
          <w:lang w:val="es-US"/>
        </w:rPr>
        <w:t>) degradación o retención de un ascenso, (</w:t>
      </w:r>
      <w:proofErr w:type="spellStart"/>
      <w:r w:rsidRPr="00C27358">
        <w:rPr>
          <w:rFonts w:ascii="Times New Roman" w:hAnsi="Times New Roman"/>
          <w:sz w:val="22"/>
          <w:lang w:val="es-US"/>
        </w:rPr>
        <w:t>iii</w:t>
      </w:r>
      <w:proofErr w:type="spellEnd"/>
      <w:r w:rsidRPr="00C27358">
        <w:rPr>
          <w:rFonts w:ascii="Times New Roman" w:hAnsi="Times New Roman"/>
          <w:sz w:val="22"/>
          <w:lang w:val="es-US"/>
        </w:rPr>
        <w:t>) transferencia de funciones, cambio de ubicación del lugar de trabajo, reducción de salarios o un cambio en las horas de trabajo, (</w:t>
      </w:r>
      <w:proofErr w:type="spellStart"/>
      <w:r w:rsidRPr="00C27358">
        <w:rPr>
          <w:rFonts w:ascii="Times New Roman" w:hAnsi="Times New Roman"/>
          <w:sz w:val="22"/>
          <w:lang w:val="es-US"/>
        </w:rPr>
        <w:t>iv</w:t>
      </w:r>
      <w:proofErr w:type="spellEnd"/>
      <w:r w:rsidRPr="00C27358">
        <w:rPr>
          <w:rFonts w:ascii="Times New Roman" w:hAnsi="Times New Roman"/>
          <w:sz w:val="22"/>
          <w:lang w:val="es-US"/>
        </w:rPr>
        <w:t>) retención de formación, (v) evaluaciones de desempeño negativas o referencias de empleo negativas, (vi) imposición de cualquier medida disciplinaria o sanciones, incluidas sanciones financieras de cualquier tipo, (</w:t>
      </w:r>
      <w:proofErr w:type="spellStart"/>
      <w:r w:rsidRPr="00C27358">
        <w:rPr>
          <w:rFonts w:ascii="Times New Roman" w:hAnsi="Times New Roman"/>
          <w:sz w:val="22"/>
          <w:lang w:val="es-US"/>
        </w:rPr>
        <w:t>vii</w:t>
      </w:r>
      <w:proofErr w:type="spellEnd"/>
      <w:r w:rsidRPr="00C27358">
        <w:rPr>
          <w:rFonts w:ascii="Times New Roman" w:hAnsi="Times New Roman"/>
          <w:sz w:val="22"/>
          <w:lang w:val="es-US"/>
        </w:rPr>
        <w:t>) intimidación, acoso u ostracismo del Denunciante, (</w:t>
      </w:r>
      <w:proofErr w:type="spellStart"/>
      <w:r w:rsidRPr="00C27358">
        <w:rPr>
          <w:rFonts w:ascii="Times New Roman" w:hAnsi="Times New Roman"/>
          <w:sz w:val="22"/>
          <w:lang w:val="es-US"/>
        </w:rPr>
        <w:t>viii</w:t>
      </w:r>
      <w:proofErr w:type="spellEnd"/>
      <w:r w:rsidRPr="00C27358">
        <w:rPr>
          <w:rFonts w:ascii="Times New Roman" w:hAnsi="Times New Roman"/>
          <w:sz w:val="22"/>
          <w:lang w:val="es-US"/>
        </w:rPr>
        <w:t>) discriminación contra el Denunciante o tratamiento injusto en relación con los demás en situación similar, (</w:t>
      </w:r>
      <w:proofErr w:type="spellStart"/>
      <w:r w:rsidRPr="00C27358">
        <w:rPr>
          <w:rFonts w:ascii="Times New Roman" w:hAnsi="Times New Roman"/>
          <w:sz w:val="22"/>
          <w:lang w:val="es-US"/>
        </w:rPr>
        <w:t>ix</w:t>
      </w:r>
      <w:proofErr w:type="spellEnd"/>
      <w:r w:rsidRPr="00C27358">
        <w:rPr>
          <w:rFonts w:ascii="Times New Roman" w:hAnsi="Times New Roman"/>
          <w:sz w:val="22"/>
          <w:lang w:val="es-US"/>
        </w:rPr>
        <w:t>) no convertir un contrato temporal en uno permanente donde el Denunciante tenía una expectativa legítima de empleo permanente, (x) no renovar o rescindir anticipadamente un contrato temporal, (xi) dañar la reputación del Denunciante, ya sea en los medios de comunicación o de otro modo, (</w:t>
      </w:r>
      <w:proofErr w:type="spellStart"/>
      <w:r w:rsidRPr="00C27358">
        <w:rPr>
          <w:rFonts w:ascii="Times New Roman" w:hAnsi="Times New Roman"/>
          <w:sz w:val="22"/>
          <w:lang w:val="es-US"/>
        </w:rPr>
        <w:t>xii</w:t>
      </w:r>
      <w:proofErr w:type="spellEnd"/>
      <w:r w:rsidRPr="00C27358">
        <w:rPr>
          <w:rFonts w:ascii="Times New Roman" w:hAnsi="Times New Roman"/>
          <w:sz w:val="22"/>
          <w:lang w:val="es-US"/>
        </w:rPr>
        <w:t>) incluir al Denunciante en una lista negra en un acuerdo de todo el sector (formal o informal), (</w:t>
      </w:r>
      <w:proofErr w:type="spellStart"/>
      <w:r w:rsidRPr="00C27358">
        <w:rPr>
          <w:rFonts w:ascii="Times New Roman" w:hAnsi="Times New Roman"/>
          <w:sz w:val="22"/>
          <w:lang w:val="es-US"/>
        </w:rPr>
        <w:t>xiii</w:t>
      </w:r>
      <w:proofErr w:type="spellEnd"/>
      <w:r w:rsidRPr="00C27358">
        <w:rPr>
          <w:rFonts w:ascii="Times New Roman" w:hAnsi="Times New Roman"/>
          <w:sz w:val="22"/>
          <w:lang w:val="es-US"/>
        </w:rPr>
        <w:t>) una rescisión o cancelación anticipada del contrato con el Denunciante o una entidad relacionada, (</w:t>
      </w:r>
      <w:proofErr w:type="spellStart"/>
      <w:r w:rsidRPr="00C27358">
        <w:rPr>
          <w:rFonts w:ascii="Times New Roman" w:hAnsi="Times New Roman"/>
          <w:sz w:val="22"/>
          <w:lang w:val="es-US"/>
        </w:rPr>
        <w:t>xiv</w:t>
      </w:r>
      <w:proofErr w:type="spellEnd"/>
      <w:r w:rsidRPr="00C27358">
        <w:rPr>
          <w:rFonts w:ascii="Times New Roman" w:hAnsi="Times New Roman"/>
          <w:sz w:val="22"/>
          <w:lang w:val="es-US"/>
        </w:rPr>
        <w:t>) cancelación de cualquier licencia o permiso, (</w:t>
      </w:r>
      <w:proofErr w:type="spellStart"/>
      <w:r w:rsidRPr="00C27358">
        <w:rPr>
          <w:rFonts w:ascii="Times New Roman" w:hAnsi="Times New Roman"/>
          <w:sz w:val="22"/>
          <w:lang w:val="es-US"/>
        </w:rPr>
        <w:t>xv</w:t>
      </w:r>
      <w:proofErr w:type="spellEnd"/>
      <w:r w:rsidRPr="00C27358">
        <w:rPr>
          <w:rFonts w:ascii="Times New Roman" w:hAnsi="Times New Roman"/>
          <w:sz w:val="22"/>
          <w:lang w:val="es-US"/>
        </w:rPr>
        <w:t>) referir al Denunciante a ayuda médica o psiquiátrica.</w:t>
      </w:r>
    </w:p>
    <w:p w14:paraId="56D0F959" w14:textId="29FAA7A5" w:rsidR="00764232" w:rsidRPr="00C27358" w:rsidRDefault="00764232" w:rsidP="00764232">
      <w:pPr>
        <w:pStyle w:val="BodyText"/>
        <w:contextualSpacing/>
        <w:jc w:val="both"/>
        <w:rPr>
          <w:rFonts w:ascii="Times New Roman" w:hAnsi="Times New Roman" w:cs="Times New Roman"/>
          <w:sz w:val="22"/>
          <w:szCs w:val="22"/>
          <w:lang w:val="es-US"/>
        </w:rPr>
      </w:pPr>
    </w:p>
    <w:p w14:paraId="0FFE3664" w14:textId="189078E0" w:rsidR="00764232" w:rsidRPr="00C27358" w:rsidRDefault="00B071E5" w:rsidP="00764232">
      <w:pPr>
        <w:pStyle w:val="BodyText"/>
        <w:contextualSpacing/>
        <w:jc w:val="both"/>
        <w:rPr>
          <w:rFonts w:ascii="Times New Roman" w:hAnsi="Times New Roman" w:cs="Times New Roman"/>
          <w:sz w:val="22"/>
          <w:szCs w:val="22"/>
          <w:lang w:val="es-US"/>
        </w:rPr>
      </w:pPr>
      <w:r w:rsidRPr="00C27358">
        <w:rPr>
          <w:rFonts w:ascii="Times New Roman" w:hAnsi="Times New Roman"/>
          <w:sz w:val="22"/>
          <w:lang w:val="es-US"/>
        </w:rPr>
        <w:t>Si alguien con autoridad para tomar cualquiera de estas acciones contra un Denunciante cree que cualquiera de estos pasos es apropiado o se habría tomado contra el Denunciante a pesar de esta Política, esa persona debe comunicarse inmediatamente con el Director Jurídico de Spectrum Brands o su persona designada.</w:t>
      </w:r>
    </w:p>
    <w:p w14:paraId="19372C27" w14:textId="77777777" w:rsidR="00764232" w:rsidRPr="00C27358" w:rsidRDefault="00764232" w:rsidP="00764232">
      <w:pPr>
        <w:pStyle w:val="BodyText"/>
        <w:contextualSpacing/>
        <w:jc w:val="both"/>
        <w:rPr>
          <w:rFonts w:ascii="Times New Roman" w:hAnsi="Times New Roman" w:cs="Times New Roman"/>
          <w:sz w:val="22"/>
          <w:szCs w:val="22"/>
          <w:lang w:val="es-US"/>
        </w:rPr>
      </w:pPr>
    </w:p>
    <w:tbl>
      <w:tblPr>
        <w:tblStyle w:val="TableGrid"/>
        <w:tblW w:w="9360" w:type="dxa"/>
        <w:tblInd w:w="108" w:type="dxa"/>
        <w:tblLook w:val="04A0" w:firstRow="1" w:lastRow="0" w:firstColumn="1" w:lastColumn="0" w:noHBand="0" w:noVBand="1"/>
      </w:tblPr>
      <w:tblGrid>
        <w:gridCol w:w="9360"/>
      </w:tblGrid>
      <w:tr w:rsidR="00045FF9" w:rsidRPr="00C27358" w14:paraId="1F0E7676" w14:textId="77777777" w:rsidTr="009E7712">
        <w:tc>
          <w:tcPr>
            <w:tcW w:w="9360" w:type="dxa"/>
          </w:tcPr>
          <w:p w14:paraId="4008721C" w14:textId="0721F498" w:rsidR="00045FF9" w:rsidRPr="00C27358" w:rsidRDefault="000871CB" w:rsidP="009E7712">
            <w:pPr>
              <w:pStyle w:val="BodyText"/>
              <w:spacing w:before="6"/>
              <w:contextualSpacing/>
              <w:rPr>
                <w:rFonts w:ascii="Times New Roman" w:hAnsi="Times New Roman" w:cs="Times New Roman"/>
                <w:b/>
                <w:sz w:val="22"/>
                <w:szCs w:val="22"/>
                <w:lang w:val="es-US"/>
              </w:rPr>
            </w:pPr>
            <w:r w:rsidRPr="00C27358">
              <w:rPr>
                <w:rFonts w:ascii="Times New Roman" w:hAnsi="Times New Roman"/>
                <w:b/>
                <w:sz w:val="22"/>
                <w:lang w:val="es-US"/>
              </w:rPr>
              <w:t>Reglas generales para la gestión de denuncias y conservación de datos</w:t>
            </w:r>
          </w:p>
        </w:tc>
      </w:tr>
    </w:tbl>
    <w:p w14:paraId="08E361FD" w14:textId="77777777" w:rsidR="00045FF9" w:rsidRPr="00C27358" w:rsidRDefault="00045FF9" w:rsidP="00045FF9">
      <w:pPr>
        <w:rPr>
          <w:rFonts w:ascii="Times New Roman" w:hAnsi="Times New Roman" w:cs="Times New Roman"/>
          <w:lang w:val="es-US"/>
        </w:rPr>
      </w:pPr>
    </w:p>
    <w:p w14:paraId="1632E793" w14:textId="29397A39" w:rsidR="00045FF9" w:rsidRPr="00C27358" w:rsidRDefault="00D6642E" w:rsidP="00045FF9">
      <w:pPr>
        <w:jc w:val="both"/>
        <w:rPr>
          <w:rFonts w:ascii="Times New Roman" w:hAnsi="Times New Roman" w:cs="Times New Roman"/>
          <w:lang w:val="es-US"/>
        </w:rPr>
      </w:pPr>
      <w:r w:rsidRPr="00C27358">
        <w:rPr>
          <w:rFonts w:ascii="Times New Roman" w:hAnsi="Times New Roman"/>
          <w:lang w:val="es-US"/>
        </w:rPr>
        <w:t>Cualquier información personal que identifique o pueda identificar al Denunciante debe tratarse de acuerdo con las disposiciones del Reglamento General de Protección de Datos 2016/679, también conocido como RGPD. No se recopilarán datos personales que sean completamente irrelevantes para la investigación de las denuncias y, si se recopilan, se eliminarán.</w:t>
      </w:r>
    </w:p>
    <w:p w14:paraId="429CE415" w14:textId="17E6C6A8" w:rsidR="0072233E" w:rsidRPr="00C27358" w:rsidRDefault="0072233E" w:rsidP="00045FF9">
      <w:pPr>
        <w:jc w:val="both"/>
        <w:rPr>
          <w:rFonts w:ascii="Times New Roman" w:hAnsi="Times New Roman" w:cs="Times New Roman"/>
          <w:lang w:val="es-US"/>
        </w:rPr>
      </w:pPr>
    </w:p>
    <w:p w14:paraId="0B5FEA62" w14:textId="7E3A6D91" w:rsidR="0072233E" w:rsidRPr="00C27358" w:rsidRDefault="00F05EF4" w:rsidP="00045FF9">
      <w:pPr>
        <w:jc w:val="both"/>
        <w:rPr>
          <w:rFonts w:ascii="Times New Roman" w:hAnsi="Times New Roman" w:cs="Times New Roman"/>
          <w:lang w:val="es-US"/>
        </w:rPr>
      </w:pPr>
      <w:r w:rsidRPr="00C27358">
        <w:rPr>
          <w:rFonts w:ascii="Times New Roman" w:hAnsi="Times New Roman"/>
          <w:lang w:val="es-US"/>
        </w:rPr>
        <w:t xml:space="preserve">Los registros de cada denuncia recibida serán mantenidos por Spectrum Brands de manera confidencial y segura. Las denuncias que puedan razonablemente convertirse en objeto de procedimientos legales se conservarán hasta el momento en que el procedimiento legal haya llegado a su disposición final o el estatuto </w:t>
      </w:r>
      <w:r w:rsidRPr="00C27358">
        <w:rPr>
          <w:rFonts w:ascii="Times New Roman" w:hAnsi="Times New Roman"/>
          <w:lang w:val="es-US"/>
        </w:rPr>
        <w:lastRenderedPageBreak/>
        <w:t xml:space="preserve">de prescripción haya pasado. Las denuncias, junto con cualquier archivo asociado, que no sean razonablemente objeto de ningún otro procedimiento legal, investigación externa u otra denuncia, en la medida permitida en función de los requisitos de conservación de registros de la Compañía y las obligaciones legales aplicables, se destruirán sin demora indebida una vez concluida la investigación. </w:t>
      </w:r>
    </w:p>
    <w:p w14:paraId="39EAC2E0" w14:textId="77777777" w:rsidR="00045FF9" w:rsidRPr="00C27358" w:rsidRDefault="00045FF9" w:rsidP="00045FF9">
      <w:pPr>
        <w:pStyle w:val="BodyText"/>
        <w:contextualSpacing/>
        <w:jc w:val="both"/>
        <w:rPr>
          <w:rFonts w:ascii="Times New Roman" w:hAnsi="Times New Roman" w:cs="Times New Roman"/>
          <w:b/>
          <w:bCs/>
          <w:sz w:val="22"/>
          <w:szCs w:val="22"/>
          <w:lang w:val="es-US"/>
        </w:rPr>
      </w:pPr>
    </w:p>
    <w:tbl>
      <w:tblPr>
        <w:tblStyle w:val="TableGrid"/>
        <w:tblW w:w="9360" w:type="dxa"/>
        <w:tblInd w:w="108" w:type="dxa"/>
        <w:tblLook w:val="04A0" w:firstRow="1" w:lastRow="0" w:firstColumn="1" w:lastColumn="0" w:noHBand="0" w:noVBand="1"/>
      </w:tblPr>
      <w:tblGrid>
        <w:gridCol w:w="9360"/>
      </w:tblGrid>
      <w:tr w:rsidR="00045FF9" w:rsidRPr="00C27358" w14:paraId="67D8FB38" w14:textId="77777777" w:rsidTr="009E7712">
        <w:tc>
          <w:tcPr>
            <w:tcW w:w="9360" w:type="dxa"/>
          </w:tcPr>
          <w:p w14:paraId="7E42E85C" w14:textId="77777777" w:rsidR="00045FF9" w:rsidRPr="00C27358" w:rsidRDefault="00045FF9" w:rsidP="009E7712">
            <w:pPr>
              <w:pStyle w:val="BodyText"/>
              <w:spacing w:before="6"/>
              <w:contextualSpacing/>
              <w:rPr>
                <w:rFonts w:ascii="Times New Roman" w:hAnsi="Times New Roman" w:cs="Times New Roman"/>
                <w:b/>
                <w:sz w:val="22"/>
                <w:szCs w:val="22"/>
                <w:lang w:val="es-US"/>
              </w:rPr>
            </w:pPr>
            <w:bookmarkStart w:id="0" w:name="_Hlk68174472"/>
            <w:r w:rsidRPr="00C27358">
              <w:rPr>
                <w:rFonts w:ascii="Times New Roman" w:hAnsi="Times New Roman"/>
                <w:b/>
                <w:sz w:val="22"/>
                <w:lang w:val="es-US"/>
              </w:rPr>
              <w:t>Cumplimiento de la Política / Medidas disciplinarias por infracciones</w:t>
            </w:r>
          </w:p>
        </w:tc>
      </w:tr>
      <w:bookmarkEnd w:id="0"/>
    </w:tbl>
    <w:p w14:paraId="0A2A7F78" w14:textId="77777777" w:rsidR="00045FF9" w:rsidRPr="00C27358" w:rsidRDefault="00045FF9" w:rsidP="00045FF9">
      <w:pPr>
        <w:pStyle w:val="BodyText"/>
        <w:spacing w:before="6"/>
        <w:contextualSpacing/>
        <w:rPr>
          <w:rFonts w:ascii="Times New Roman" w:hAnsi="Times New Roman" w:cs="Times New Roman"/>
          <w:bCs/>
          <w:sz w:val="22"/>
          <w:szCs w:val="22"/>
          <w:lang w:val="es-US"/>
        </w:rPr>
      </w:pPr>
    </w:p>
    <w:p w14:paraId="1B68D631" w14:textId="5157F5B7" w:rsidR="00045FF9" w:rsidRPr="00C27358" w:rsidRDefault="00045FF9" w:rsidP="00045FF9">
      <w:pPr>
        <w:pStyle w:val="BodyText"/>
        <w:spacing w:before="1"/>
        <w:contextualSpacing/>
        <w:jc w:val="both"/>
        <w:rPr>
          <w:rFonts w:ascii="Times New Roman" w:hAnsi="Times New Roman" w:cs="Times New Roman"/>
          <w:sz w:val="22"/>
          <w:szCs w:val="22"/>
          <w:lang w:val="es-US"/>
        </w:rPr>
      </w:pPr>
      <w:r w:rsidRPr="00C27358">
        <w:rPr>
          <w:rFonts w:ascii="Times New Roman" w:hAnsi="Times New Roman"/>
          <w:sz w:val="22"/>
          <w:lang w:val="es-US"/>
        </w:rPr>
        <w:t>Cualquier empleado que infrinja esta Política u otra política similar de cualquier otro empleado, podrá ser objeto de medidas disciplinarias, hasta e incluido el despido laboral. Además, las infracciones de esta Política pueden resultar en consecuencias graves, incluido el enjuiciamiento penal. Cualquier empleado que tenga inquietudes o problemas para cumplir con esta Política debe comunicarse inmediatamente con el LRM antes de tomar cualquier otra medida. El LRM evaluará la situación y decidirá qué medidas correctivas se requieren, si las hubiera.</w:t>
      </w:r>
    </w:p>
    <w:p w14:paraId="1FEDE71A" w14:textId="77777777" w:rsidR="00045FF9" w:rsidRPr="00C27358" w:rsidRDefault="00045FF9" w:rsidP="00045FF9">
      <w:pPr>
        <w:pStyle w:val="BodyText"/>
        <w:spacing w:before="1"/>
        <w:contextualSpacing/>
        <w:jc w:val="both"/>
        <w:rPr>
          <w:rFonts w:ascii="Times New Roman" w:hAnsi="Times New Roman" w:cs="Times New Roman"/>
          <w:sz w:val="22"/>
          <w:szCs w:val="22"/>
          <w:lang w:val="es-US"/>
        </w:rPr>
      </w:pPr>
    </w:p>
    <w:p w14:paraId="04C786FF" w14:textId="766B136A" w:rsidR="00045FF9" w:rsidRPr="00C27358" w:rsidRDefault="00045FF9" w:rsidP="00045FF9">
      <w:pPr>
        <w:jc w:val="both"/>
        <w:rPr>
          <w:rFonts w:ascii="Times New Roman" w:hAnsi="Times New Roman" w:cs="Times New Roman"/>
          <w:i/>
          <w:lang w:val="es-US"/>
        </w:rPr>
      </w:pPr>
      <w:r w:rsidRPr="00C27358">
        <w:rPr>
          <w:lang w:val="es-US"/>
        </w:rPr>
        <w:t xml:space="preserve">No </w:t>
      </w:r>
      <w:r w:rsidRPr="00C27358">
        <w:rPr>
          <w:rFonts w:ascii="Times New Roman" w:hAnsi="Times New Roman"/>
          <w:lang w:val="es-US"/>
        </w:rPr>
        <w:t xml:space="preserve">se permitirán desviaciones de esta Política sin el permiso expreso y por escrito del </w:t>
      </w:r>
      <w:bookmarkStart w:id="1" w:name="_Hlk96700489"/>
      <w:r w:rsidRPr="00C27358">
        <w:rPr>
          <w:rFonts w:ascii="Times New Roman" w:hAnsi="Times New Roman"/>
          <w:lang w:val="es-US"/>
        </w:rPr>
        <w:t>Director Jurídico de Spectrum Brands</w:t>
      </w:r>
      <w:bookmarkEnd w:id="1"/>
      <w:r w:rsidRPr="00C27358">
        <w:rPr>
          <w:rFonts w:ascii="Times New Roman" w:hAnsi="Times New Roman"/>
          <w:lang w:val="es-US"/>
        </w:rPr>
        <w:t xml:space="preserve"> o su persona designada. </w:t>
      </w:r>
    </w:p>
    <w:p w14:paraId="7592A11A" w14:textId="77777777" w:rsidR="00045FF9" w:rsidRPr="00C27358" w:rsidRDefault="00045FF9" w:rsidP="00045FF9">
      <w:pPr>
        <w:pStyle w:val="BodyText"/>
        <w:spacing w:before="1"/>
        <w:contextualSpacing/>
        <w:jc w:val="both"/>
        <w:rPr>
          <w:rFonts w:ascii="Times New Roman" w:hAnsi="Times New Roman" w:cs="Times New Roman"/>
          <w:sz w:val="22"/>
          <w:szCs w:val="22"/>
          <w:lang w:val="es-US"/>
        </w:rPr>
      </w:pPr>
    </w:p>
    <w:p w14:paraId="153B52B1" w14:textId="77777777" w:rsidR="00045FF9" w:rsidRPr="00C27358" w:rsidRDefault="00045FF9" w:rsidP="00045FF9">
      <w:pPr>
        <w:pStyle w:val="BodyText"/>
        <w:contextualSpacing/>
        <w:rPr>
          <w:rFonts w:ascii="Times New Roman" w:hAnsi="Times New Roman" w:cs="Times New Roman"/>
          <w:sz w:val="22"/>
          <w:szCs w:val="22"/>
          <w:lang w:val="es-US"/>
        </w:rPr>
      </w:pPr>
    </w:p>
    <w:tbl>
      <w:tblPr>
        <w:tblStyle w:val="TableGrid"/>
        <w:tblW w:w="9360" w:type="dxa"/>
        <w:tblInd w:w="108" w:type="dxa"/>
        <w:tblLook w:val="04A0" w:firstRow="1" w:lastRow="0" w:firstColumn="1" w:lastColumn="0" w:noHBand="0" w:noVBand="1"/>
      </w:tblPr>
      <w:tblGrid>
        <w:gridCol w:w="9360"/>
      </w:tblGrid>
      <w:tr w:rsidR="00045FF9" w:rsidRPr="00C27358" w14:paraId="7093343D" w14:textId="77777777" w:rsidTr="009E7712">
        <w:tc>
          <w:tcPr>
            <w:tcW w:w="9360" w:type="dxa"/>
          </w:tcPr>
          <w:p w14:paraId="1FE007AD" w14:textId="77777777" w:rsidR="00045FF9" w:rsidRPr="00C27358" w:rsidRDefault="00045FF9" w:rsidP="009E7712">
            <w:pPr>
              <w:pStyle w:val="BodyText"/>
              <w:contextualSpacing/>
              <w:rPr>
                <w:rFonts w:ascii="Times New Roman" w:hAnsi="Times New Roman" w:cs="Times New Roman"/>
                <w:b/>
                <w:bCs/>
                <w:sz w:val="22"/>
                <w:szCs w:val="22"/>
                <w:lang w:val="es-US"/>
              </w:rPr>
            </w:pPr>
            <w:r w:rsidRPr="00C27358">
              <w:rPr>
                <w:rFonts w:ascii="Times New Roman" w:hAnsi="Times New Roman"/>
                <w:b/>
                <w:sz w:val="22"/>
                <w:lang w:val="es-US"/>
              </w:rPr>
              <w:t>Información de contacto</w:t>
            </w:r>
          </w:p>
        </w:tc>
      </w:tr>
    </w:tbl>
    <w:p w14:paraId="5A47F16F" w14:textId="77777777" w:rsidR="00045FF9" w:rsidRPr="00C27358" w:rsidRDefault="00045FF9" w:rsidP="00045FF9">
      <w:pPr>
        <w:pStyle w:val="BodyText"/>
        <w:contextualSpacing/>
        <w:rPr>
          <w:rFonts w:ascii="Times New Roman" w:hAnsi="Times New Roman" w:cs="Times New Roman"/>
          <w:sz w:val="22"/>
          <w:szCs w:val="22"/>
          <w:lang w:val="es-US"/>
        </w:rPr>
      </w:pPr>
    </w:p>
    <w:p w14:paraId="1506111C" w14:textId="77777777" w:rsidR="00045FF9" w:rsidRPr="00C27358" w:rsidRDefault="00045FF9" w:rsidP="00045FF9">
      <w:pPr>
        <w:pStyle w:val="Heading1"/>
        <w:spacing w:before="42" w:after="11"/>
        <w:ind w:left="0"/>
        <w:contextualSpacing/>
        <w:rPr>
          <w:rFonts w:ascii="Times New Roman" w:hAnsi="Times New Roman" w:cs="Times New Roman"/>
          <w:sz w:val="22"/>
          <w:szCs w:val="22"/>
          <w:lang w:val="es-US"/>
        </w:rPr>
      </w:pPr>
      <w:r w:rsidRPr="00C27358">
        <w:rPr>
          <w:rFonts w:ascii="Times New Roman" w:hAnsi="Times New Roman"/>
          <w:sz w:val="22"/>
          <w:lang w:val="es-US"/>
        </w:rPr>
        <w:t>Información de contacto</w:t>
      </w:r>
    </w:p>
    <w:p w14:paraId="24CB1439" w14:textId="77777777" w:rsidR="00045FF9" w:rsidRPr="00C27358" w:rsidRDefault="00045FF9" w:rsidP="00045FF9">
      <w:pPr>
        <w:pStyle w:val="BodyText"/>
        <w:contextualSpacing/>
        <w:rPr>
          <w:rFonts w:ascii="Times New Roman" w:hAnsi="Times New Roman" w:cs="Times New Roman"/>
          <w:bCs/>
          <w:sz w:val="22"/>
          <w:szCs w:val="22"/>
          <w:lang w:val="es-US"/>
        </w:rPr>
      </w:pPr>
      <w:r w:rsidRPr="00C27358">
        <w:rPr>
          <w:rFonts w:ascii="Times New Roman" w:hAnsi="Times New Roman"/>
          <w:sz w:val="22"/>
          <w:lang w:val="es-US"/>
        </w:rPr>
        <w:t>Spectrum Brands, Inc.</w:t>
      </w:r>
    </w:p>
    <w:p w14:paraId="1DD39943" w14:textId="77777777" w:rsidR="00045FF9" w:rsidRPr="00C27358" w:rsidRDefault="00045FF9" w:rsidP="00045FF9">
      <w:pPr>
        <w:pStyle w:val="BodyText"/>
        <w:contextualSpacing/>
        <w:rPr>
          <w:rFonts w:ascii="Times New Roman" w:hAnsi="Times New Roman" w:cs="Times New Roman"/>
          <w:bCs/>
          <w:sz w:val="22"/>
          <w:szCs w:val="22"/>
          <w:lang w:val="es-US"/>
        </w:rPr>
      </w:pPr>
      <w:proofErr w:type="spellStart"/>
      <w:r w:rsidRPr="00C27358">
        <w:rPr>
          <w:rFonts w:ascii="Times New Roman" w:hAnsi="Times New Roman"/>
          <w:sz w:val="22"/>
          <w:lang w:val="es-US"/>
        </w:rPr>
        <w:t>Atn</w:t>
      </w:r>
      <w:proofErr w:type="spellEnd"/>
      <w:r w:rsidRPr="00C27358">
        <w:rPr>
          <w:rFonts w:ascii="Times New Roman" w:hAnsi="Times New Roman"/>
          <w:sz w:val="22"/>
          <w:lang w:val="es-US"/>
        </w:rPr>
        <w:t xml:space="preserve">.: </w:t>
      </w:r>
      <w:proofErr w:type="gramStart"/>
      <w:r w:rsidRPr="00C27358">
        <w:rPr>
          <w:rFonts w:ascii="Times New Roman" w:hAnsi="Times New Roman"/>
          <w:sz w:val="22"/>
          <w:lang w:val="es-US"/>
        </w:rPr>
        <w:t>Director</w:t>
      </w:r>
      <w:proofErr w:type="gramEnd"/>
      <w:r w:rsidRPr="00C27358">
        <w:rPr>
          <w:rFonts w:ascii="Times New Roman" w:hAnsi="Times New Roman"/>
          <w:sz w:val="22"/>
          <w:lang w:val="es-US"/>
        </w:rPr>
        <w:t xml:space="preserve"> jurídico</w:t>
      </w:r>
    </w:p>
    <w:p w14:paraId="59AB6EEA" w14:textId="77777777" w:rsidR="00045FF9" w:rsidRPr="00C27358" w:rsidRDefault="00045FF9" w:rsidP="00045FF9">
      <w:pPr>
        <w:pStyle w:val="BodyText"/>
        <w:contextualSpacing/>
        <w:rPr>
          <w:rFonts w:ascii="Times New Roman" w:hAnsi="Times New Roman" w:cs="Times New Roman"/>
          <w:bCs/>
          <w:sz w:val="22"/>
          <w:szCs w:val="22"/>
          <w:lang w:val="es-US"/>
        </w:rPr>
      </w:pPr>
      <w:r w:rsidRPr="00C27358">
        <w:rPr>
          <w:rFonts w:ascii="Times New Roman" w:hAnsi="Times New Roman"/>
          <w:sz w:val="22"/>
          <w:lang w:val="es-US"/>
        </w:rPr>
        <w:t xml:space="preserve">3001 Deming </w:t>
      </w:r>
      <w:proofErr w:type="spellStart"/>
      <w:r w:rsidRPr="00C27358">
        <w:rPr>
          <w:rFonts w:ascii="Times New Roman" w:hAnsi="Times New Roman"/>
          <w:sz w:val="22"/>
          <w:lang w:val="es-US"/>
        </w:rPr>
        <w:t>Way</w:t>
      </w:r>
      <w:proofErr w:type="spellEnd"/>
    </w:p>
    <w:p w14:paraId="20CADD1A" w14:textId="77777777" w:rsidR="00045FF9" w:rsidRPr="00C27358" w:rsidRDefault="00045FF9" w:rsidP="00045FF9">
      <w:pPr>
        <w:pStyle w:val="BodyText"/>
        <w:contextualSpacing/>
        <w:rPr>
          <w:rFonts w:ascii="Times New Roman" w:hAnsi="Times New Roman" w:cs="Times New Roman"/>
          <w:bCs/>
          <w:sz w:val="22"/>
          <w:szCs w:val="22"/>
          <w:lang w:val="es-US"/>
        </w:rPr>
      </w:pPr>
      <w:r w:rsidRPr="00C27358">
        <w:rPr>
          <w:rFonts w:ascii="Times New Roman" w:hAnsi="Times New Roman"/>
          <w:sz w:val="22"/>
          <w:lang w:val="es-US"/>
        </w:rPr>
        <w:t>Middleton, WI 53562</w:t>
      </w:r>
    </w:p>
    <w:p w14:paraId="2190FCF9" w14:textId="77777777" w:rsidR="00045FF9" w:rsidRPr="00C27358" w:rsidRDefault="00045FF9" w:rsidP="00045FF9">
      <w:pPr>
        <w:pStyle w:val="BodyText"/>
        <w:contextualSpacing/>
        <w:rPr>
          <w:rFonts w:ascii="Times New Roman" w:hAnsi="Times New Roman" w:cs="Times New Roman"/>
          <w:bCs/>
          <w:sz w:val="22"/>
          <w:szCs w:val="22"/>
          <w:lang w:val="es-US"/>
        </w:rPr>
      </w:pPr>
    </w:p>
    <w:tbl>
      <w:tblPr>
        <w:tblStyle w:val="TableGrid"/>
        <w:tblW w:w="9360" w:type="dxa"/>
        <w:tblInd w:w="108" w:type="dxa"/>
        <w:tblLook w:val="04A0" w:firstRow="1" w:lastRow="0" w:firstColumn="1" w:lastColumn="0" w:noHBand="0" w:noVBand="1"/>
      </w:tblPr>
      <w:tblGrid>
        <w:gridCol w:w="9360"/>
      </w:tblGrid>
      <w:tr w:rsidR="00045FF9" w:rsidRPr="00C27358" w14:paraId="53C07DB3" w14:textId="77777777" w:rsidTr="009E7712">
        <w:tc>
          <w:tcPr>
            <w:tcW w:w="9360" w:type="dxa"/>
          </w:tcPr>
          <w:p w14:paraId="52459DB8" w14:textId="77777777" w:rsidR="00045FF9" w:rsidRPr="00C27358" w:rsidRDefault="00045FF9" w:rsidP="009E7712">
            <w:pPr>
              <w:pStyle w:val="BodyText"/>
              <w:spacing w:before="4"/>
              <w:contextualSpacing/>
              <w:rPr>
                <w:rFonts w:ascii="Times New Roman" w:hAnsi="Times New Roman" w:cs="Times New Roman"/>
                <w:b/>
                <w:sz w:val="22"/>
                <w:szCs w:val="22"/>
                <w:lang w:val="es-US"/>
              </w:rPr>
            </w:pPr>
            <w:r w:rsidRPr="00C27358">
              <w:rPr>
                <w:rFonts w:ascii="Times New Roman" w:hAnsi="Times New Roman"/>
                <w:b/>
                <w:sz w:val="22"/>
                <w:lang w:val="es-US"/>
              </w:rPr>
              <w:t>Información relacionada</w:t>
            </w:r>
          </w:p>
        </w:tc>
      </w:tr>
    </w:tbl>
    <w:p w14:paraId="1AA31E69" w14:textId="77777777" w:rsidR="00045FF9" w:rsidRPr="00C27358" w:rsidRDefault="00045FF9" w:rsidP="00045FF9">
      <w:pPr>
        <w:spacing w:before="226"/>
        <w:contextualSpacing/>
        <w:rPr>
          <w:rFonts w:ascii="Times New Roman" w:hAnsi="Times New Roman" w:cs="Times New Roman"/>
          <w:bCs/>
          <w:w w:val="105"/>
          <w:lang w:val="es-US"/>
        </w:rPr>
      </w:pPr>
    </w:p>
    <w:p w14:paraId="7ED26893" w14:textId="77777777" w:rsidR="00045FF9" w:rsidRPr="00C27358" w:rsidRDefault="00045FF9" w:rsidP="00045FF9">
      <w:pPr>
        <w:spacing w:before="226"/>
        <w:contextualSpacing/>
        <w:rPr>
          <w:rFonts w:ascii="Times New Roman" w:hAnsi="Times New Roman" w:cs="Times New Roman"/>
          <w:b/>
          <w:lang w:val="es-US"/>
        </w:rPr>
      </w:pPr>
      <w:r w:rsidRPr="00C27358">
        <w:rPr>
          <w:rFonts w:ascii="Times New Roman" w:hAnsi="Times New Roman"/>
          <w:b/>
          <w:lang w:val="es-US"/>
        </w:rPr>
        <w:t>Documentos de Spectrum Brands:</w:t>
      </w:r>
    </w:p>
    <w:p w14:paraId="6902C5B6" w14:textId="77777777" w:rsidR="00045FF9" w:rsidRPr="00C27358" w:rsidRDefault="00045FF9" w:rsidP="00045FF9">
      <w:pPr>
        <w:pStyle w:val="PolicyInfotext"/>
        <w:rPr>
          <w:sz w:val="24"/>
          <w:szCs w:val="24"/>
          <w:lang w:val="es-US"/>
        </w:rPr>
      </w:pPr>
      <w:r w:rsidRPr="00C27358">
        <w:rPr>
          <w:sz w:val="24"/>
          <w:lang w:val="es-US"/>
        </w:rPr>
        <w:t xml:space="preserve">Código de conducta y ética empresarial </w:t>
      </w:r>
    </w:p>
    <w:p w14:paraId="2A67D021" w14:textId="77777777" w:rsidR="00045FF9" w:rsidRPr="00C27358" w:rsidRDefault="00045FF9" w:rsidP="00045FF9">
      <w:pPr>
        <w:pStyle w:val="PolicyInfotext"/>
        <w:rPr>
          <w:sz w:val="24"/>
          <w:szCs w:val="24"/>
          <w:lang w:val="es-US"/>
        </w:rPr>
      </w:pPr>
      <w:r w:rsidRPr="00C27358">
        <w:rPr>
          <w:sz w:val="24"/>
          <w:lang w:val="es-US"/>
        </w:rPr>
        <w:t xml:space="preserve">Código de conducta para proveedores </w:t>
      </w:r>
    </w:p>
    <w:p w14:paraId="6BA842E0" w14:textId="77777777" w:rsidR="00045FF9" w:rsidRPr="00C27358" w:rsidRDefault="00045FF9" w:rsidP="00045FF9">
      <w:pPr>
        <w:spacing w:before="99"/>
        <w:contextualSpacing/>
        <w:rPr>
          <w:rFonts w:ascii="Times New Roman" w:hAnsi="Times New Roman" w:cs="Times New Roman"/>
          <w:b/>
          <w:lang w:val="es-US"/>
        </w:rPr>
      </w:pPr>
      <w:r w:rsidRPr="00C27358">
        <w:rPr>
          <w:rFonts w:ascii="Times New Roman" w:hAnsi="Times New Roman"/>
          <w:b/>
          <w:lang w:val="es-US"/>
        </w:rPr>
        <w:t>Otros documentos:</w:t>
      </w:r>
    </w:p>
    <w:p w14:paraId="311A70C1" w14:textId="77777777" w:rsidR="00045FF9" w:rsidRPr="00C27358" w:rsidRDefault="00045FF9" w:rsidP="00045FF9">
      <w:pPr>
        <w:spacing w:before="13"/>
        <w:contextualSpacing/>
        <w:rPr>
          <w:rFonts w:ascii="Times New Roman" w:hAnsi="Times New Roman" w:cs="Times New Roman"/>
          <w:lang w:val="es-US"/>
        </w:rPr>
      </w:pPr>
      <w:r w:rsidRPr="00C27358">
        <w:rPr>
          <w:rFonts w:ascii="Times New Roman" w:hAnsi="Times New Roman"/>
          <w:lang w:val="es-US"/>
        </w:rPr>
        <w:t>Ninguno</w:t>
      </w:r>
    </w:p>
    <w:p w14:paraId="5E646CCF" w14:textId="77777777" w:rsidR="00045FF9" w:rsidRPr="00C27358" w:rsidRDefault="00045FF9" w:rsidP="00045FF9">
      <w:pPr>
        <w:spacing w:before="100"/>
        <w:contextualSpacing/>
        <w:rPr>
          <w:rFonts w:ascii="Times New Roman" w:hAnsi="Times New Roman" w:cs="Times New Roman"/>
          <w:b/>
          <w:lang w:val="es-US"/>
        </w:rPr>
      </w:pPr>
      <w:r w:rsidRPr="00C27358">
        <w:rPr>
          <w:rFonts w:ascii="Times New Roman" w:hAnsi="Times New Roman"/>
          <w:b/>
          <w:lang w:val="es-US"/>
        </w:rPr>
        <w:t>Enlaces relacionados:</w:t>
      </w:r>
    </w:p>
    <w:p w14:paraId="4DAF3317" w14:textId="77777777" w:rsidR="00045FF9" w:rsidRPr="00C27358" w:rsidRDefault="00045FF9" w:rsidP="00045FF9">
      <w:pPr>
        <w:spacing w:before="13"/>
        <w:contextualSpacing/>
        <w:rPr>
          <w:rFonts w:ascii="Times New Roman" w:hAnsi="Times New Roman" w:cs="Times New Roman"/>
          <w:w w:val="110"/>
          <w:lang w:val="es-US"/>
        </w:rPr>
      </w:pPr>
      <w:r w:rsidRPr="00C27358">
        <w:rPr>
          <w:rFonts w:ascii="Times New Roman" w:hAnsi="Times New Roman"/>
          <w:lang w:val="es-US"/>
        </w:rPr>
        <w:t>Ninguno</w:t>
      </w:r>
    </w:p>
    <w:p w14:paraId="5547D6CA" w14:textId="77777777" w:rsidR="00045FF9" w:rsidRPr="00C27358" w:rsidRDefault="00045FF9" w:rsidP="00045FF9">
      <w:pPr>
        <w:spacing w:before="13"/>
        <w:contextualSpacing/>
        <w:rPr>
          <w:rFonts w:ascii="Times New Roman" w:hAnsi="Times New Roman" w:cs="Times New Roman"/>
          <w:w w:val="110"/>
          <w:lang w:val="es-US"/>
        </w:rPr>
      </w:pPr>
    </w:p>
    <w:tbl>
      <w:tblPr>
        <w:tblStyle w:val="TableGrid"/>
        <w:tblW w:w="9360" w:type="dxa"/>
        <w:tblInd w:w="108" w:type="dxa"/>
        <w:tblLook w:val="04A0" w:firstRow="1" w:lastRow="0" w:firstColumn="1" w:lastColumn="0" w:noHBand="0" w:noVBand="1"/>
      </w:tblPr>
      <w:tblGrid>
        <w:gridCol w:w="9360"/>
      </w:tblGrid>
      <w:tr w:rsidR="00045FF9" w:rsidRPr="00C27358" w14:paraId="0BA723E3" w14:textId="77777777" w:rsidTr="009E7712">
        <w:tc>
          <w:tcPr>
            <w:tcW w:w="9360" w:type="dxa"/>
          </w:tcPr>
          <w:p w14:paraId="4007F0A1" w14:textId="77777777" w:rsidR="00045FF9" w:rsidRPr="00C27358" w:rsidRDefault="00045FF9" w:rsidP="009E7712">
            <w:pPr>
              <w:spacing w:before="13"/>
              <w:contextualSpacing/>
              <w:rPr>
                <w:rFonts w:ascii="Times New Roman" w:hAnsi="Times New Roman" w:cs="Times New Roman"/>
                <w:b/>
                <w:bCs/>
                <w:w w:val="110"/>
                <w:lang w:val="es-US"/>
              </w:rPr>
            </w:pPr>
            <w:r w:rsidRPr="00C27358">
              <w:rPr>
                <w:rFonts w:ascii="Times New Roman" w:hAnsi="Times New Roman"/>
                <w:b/>
                <w:lang w:val="es-US"/>
              </w:rPr>
              <w:t>Historial de revisiones</w:t>
            </w:r>
          </w:p>
        </w:tc>
      </w:tr>
    </w:tbl>
    <w:p w14:paraId="26187550" w14:textId="77777777" w:rsidR="00045FF9" w:rsidRPr="00C27358" w:rsidRDefault="00045FF9" w:rsidP="00045FF9">
      <w:pPr>
        <w:spacing w:before="13"/>
        <w:contextualSpacing/>
        <w:rPr>
          <w:rFonts w:ascii="Times New Roman" w:hAnsi="Times New Roman" w:cs="Times New Roman"/>
          <w:w w:val="105"/>
          <w:lang w:val="es-US"/>
        </w:rPr>
      </w:pPr>
    </w:p>
    <w:p w14:paraId="13593A3C" w14:textId="4B8B22DC" w:rsidR="00045FF9" w:rsidRPr="00C27358" w:rsidRDefault="00DA0B59" w:rsidP="00045FF9">
      <w:pPr>
        <w:tabs>
          <w:tab w:val="left" w:pos="2332"/>
        </w:tabs>
        <w:spacing w:before="103"/>
        <w:contextualSpacing/>
        <w:rPr>
          <w:rFonts w:ascii="Times New Roman" w:hAnsi="Times New Roman" w:cs="Times New Roman"/>
          <w:w w:val="105"/>
          <w:lang w:val="es-US"/>
        </w:rPr>
      </w:pPr>
      <w:r w:rsidRPr="00C27358">
        <w:rPr>
          <w:rFonts w:ascii="Times New Roman" w:hAnsi="Times New Roman"/>
          <w:b/>
          <w:lang w:val="es-US"/>
        </w:rPr>
        <w:t>Agosto de 2022</w:t>
      </w:r>
      <w:r w:rsidRPr="00C27358">
        <w:rPr>
          <w:rFonts w:ascii="Times New Roman" w:hAnsi="Times New Roman"/>
          <w:lang w:val="es-US"/>
        </w:rPr>
        <w:tab/>
        <w:t>Creación de política para revisión y aprobaciones.</w:t>
      </w:r>
    </w:p>
    <w:p w14:paraId="30F15AD1" w14:textId="77777777" w:rsidR="00045FF9" w:rsidRPr="00C27358" w:rsidRDefault="00045FF9" w:rsidP="00045FF9">
      <w:pPr>
        <w:pStyle w:val="BodyText"/>
        <w:tabs>
          <w:tab w:val="left" w:pos="2340"/>
        </w:tabs>
        <w:contextualSpacing/>
        <w:rPr>
          <w:rFonts w:ascii="Times New Roman" w:hAnsi="Times New Roman" w:cs="Times New Roman"/>
          <w:bCs/>
          <w:sz w:val="22"/>
          <w:szCs w:val="22"/>
          <w:lang w:val="es-US"/>
        </w:rPr>
      </w:pPr>
    </w:p>
    <w:tbl>
      <w:tblPr>
        <w:tblStyle w:val="TableGrid"/>
        <w:tblW w:w="0" w:type="auto"/>
        <w:tblInd w:w="108" w:type="dxa"/>
        <w:tblLook w:val="04A0" w:firstRow="1" w:lastRow="0" w:firstColumn="1" w:lastColumn="0" w:noHBand="0" w:noVBand="1"/>
      </w:tblPr>
      <w:tblGrid>
        <w:gridCol w:w="9242"/>
      </w:tblGrid>
      <w:tr w:rsidR="00045FF9" w:rsidRPr="00C27358" w14:paraId="4B72894C" w14:textId="77777777" w:rsidTr="009E7712">
        <w:tc>
          <w:tcPr>
            <w:tcW w:w="9360" w:type="dxa"/>
          </w:tcPr>
          <w:p w14:paraId="3635DD2B" w14:textId="77777777" w:rsidR="00045FF9" w:rsidRPr="00C27358" w:rsidRDefault="00045FF9" w:rsidP="009E7712">
            <w:pPr>
              <w:pStyle w:val="BodyText"/>
              <w:spacing w:before="6"/>
              <w:contextualSpacing/>
              <w:rPr>
                <w:rFonts w:ascii="Times New Roman" w:hAnsi="Times New Roman" w:cs="Times New Roman"/>
                <w:bCs/>
                <w:sz w:val="22"/>
                <w:szCs w:val="22"/>
                <w:lang w:val="es-US"/>
              </w:rPr>
            </w:pPr>
            <w:r w:rsidRPr="00C27358">
              <w:rPr>
                <w:rFonts w:ascii="Times New Roman" w:hAnsi="Times New Roman"/>
                <w:b/>
                <w:sz w:val="22"/>
                <w:lang w:val="es-US"/>
              </w:rPr>
              <w:t>Ejecutivo responsable</w:t>
            </w:r>
          </w:p>
        </w:tc>
      </w:tr>
    </w:tbl>
    <w:p w14:paraId="0409F7D0" w14:textId="77777777" w:rsidR="00045FF9" w:rsidRPr="00C27358" w:rsidRDefault="00045FF9" w:rsidP="00045FF9">
      <w:pPr>
        <w:pStyle w:val="BodyText"/>
        <w:spacing w:before="6"/>
        <w:contextualSpacing/>
        <w:rPr>
          <w:rFonts w:ascii="Times New Roman" w:hAnsi="Times New Roman" w:cs="Times New Roman"/>
          <w:bCs/>
          <w:sz w:val="22"/>
          <w:szCs w:val="22"/>
          <w:lang w:val="es-US"/>
        </w:rPr>
      </w:pPr>
    </w:p>
    <w:p w14:paraId="50BDA30D" w14:textId="1A69C92E" w:rsidR="00045FF9" w:rsidRPr="00C27358" w:rsidRDefault="00E42E8D" w:rsidP="00045FF9">
      <w:pPr>
        <w:pStyle w:val="BodyText"/>
        <w:spacing w:before="6"/>
        <w:contextualSpacing/>
        <w:rPr>
          <w:rFonts w:ascii="Times New Roman" w:hAnsi="Times New Roman" w:cs="Times New Roman"/>
          <w:bCs/>
          <w:sz w:val="22"/>
          <w:szCs w:val="22"/>
          <w:lang w:val="es-US"/>
        </w:rPr>
      </w:pPr>
      <w:r>
        <w:rPr>
          <w:noProof/>
        </w:rPr>
        <w:drawing>
          <wp:inline distT="0" distB="0" distL="0" distR="0" wp14:anchorId="6757BB28" wp14:editId="2BB3D861">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C27358" w:rsidRDefault="00045FF9" w:rsidP="00045FF9">
      <w:pPr>
        <w:pStyle w:val="BodyText"/>
        <w:spacing w:before="5"/>
        <w:contextualSpacing/>
        <w:rPr>
          <w:rFonts w:ascii="Times New Roman" w:hAnsi="Times New Roman" w:cs="Times New Roman"/>
          <w:b/>
          <w:sz w:val="22"/>
          <w:szCs w:val="22"/>
          <w:u w:val="single"/>
          <w:lang w:val="es-US"/>
        </w:rPr>
      </w:pP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r w:rsidRPr="00C27358">
        <w:rPr>
          <w:rFonts w:ascii="Times New Roman" w:hAnsi="Times New Roman"/>
          <w:b/>
          <w:sz w:val="22"/>
          <w:u w:val="single"/>
          <w:lang w:val="es-US"/>
        </w:rPr>
        <w:tab/>
      </w:r>
    </w:p>
    <w:p w14:paraId="28DD90C2" w14:textId="77777777" w:rsidR="00045FF9" w:rsidRPr="00C27358" w:rsidRDefault="00045FF9" w:rsidP="00045FF9">
      <w:pPr>
        <w:pStyle w:val="BodyText"/>
        <w:spacing w:before="5"/>
        <w:contextualSpacing/>
        <w:rPr>
          <w:rFonts w:ascii="Times New Roman" w:hAnsi="Times New Roman" w:cs="Times New Roman"/>
          <w:bCs/>
          <w:sz w:val="22"/>
          <w:szCs w:val="22"/>
          <w:lang w:val="es-US"/>
        </w:rPr>
      </w:pPr>
      <w:r w:rsidRPr="00C27358">
        <w:rPr>
          <w:rFonts w:ascii="Times New Roman" w:hAnsi="Times New Roman"/>
          <w:sz w:val="22"/>
          <w:lang w:val="es-US"/>
        </w:rPr>
        <w:t>Ehsan Zargar</w:t>
      </w:r>
    </w:p>
    <w:p w14:paraId="2B071756" w14:textId="586A767B" w:rsidR="001D00FE" w:rsidRPr="00E42E8D" w:rsidRDefault="00045FF9" w:rsidP="00E42E8D">
      <w:pPr>
        <w:pStyle w:val="BodyText"/>
        <w:spacing w:before="5"/>
        <w:contextualSpacing/>
        <w:rPr>
          <w:rFonts w:ascii="Times New Roman" w:hAnsi="Times New Roman" w:cs="Times New Roman"/>
          <w:bCs/>
          <w:sz w:val="22"/>
          <w:szCs w:val="22"/>
          <w:lang w:val="es-US"/>
        </w:rPr>
      </w:pPr>
      <w:r w:rsidRPr="00C27358">
        <w:rPr>
          <w:rFonts w:ascii="Times New Roman" w:hAnsi="Times New Roman"/>
          <w:sz w:val="22"/>
          <w:lang w:val="es-US"/>
        </w:rPr>
        <w:t>Vicepresidente Ejecutivo, Director Jurídico y Secretario Corporativo</w:t>
      </w:r>
    </w:p>
    <w:sectPr w:rsidR="001D00FE" w:rsidRPr="00E42E8D" w:rsidSect="003B5E8F">
      <w:headerReference w:type="default" r:id="rId12"/>
      <w:footerReference w:type="default" r:id="rId13"/>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9C18D4" w14:textId="77777777" w:rsidR="00921387" w:rsidRDefault="00921387">
      <w:r>
        <w:separator/>
      </w:r>
    </w:p>
  </w:endnote>
  <w:endnote w:type="continuationSeparator" w:id="0">
    <w:p w14:paraId="41DAEABB" w14:textId="77777777" w:rsidR="00921387" w:rsidRDefault="00921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256E04C9" w:rsidR="003B5E8F" w:rsidRDefault="005B496A">
        <w:pPr>
          <w:pStyle w:val="Footer"/>
          <w:jc w:val="center"/>
        </w:pPr>
        <w:r>
          <w:fldChar w:fldCharType="begin"/>
        </w:r>
        <w:r>
          <w:instrText xml:space="preserve"> PAGE   \* MERGEFORMAT </w:instrText>
        </w:r>
        <w:r>
          <w:fldChar w:fldCharType="separate"/>
        </w:r>
        <w:r w:rsidR="00C27358">
          <w:rPr>
            <w:noProof/>
          </w:rPr>
          <w:t>4</w:t>
        </w:r>
        <w:r>
          <w:fldChar w:fldCharType="end"/>
        </w:r>
      </w:p>
    </w:sdtContent>
  </w:sdt>
  <w:p w14:paraId="24000A0B" w14:textId="77777777" w:rsidR="00FE1ABD" w:rsidRDefault="00E42E8D">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65029C" w14:textId="77777777" w:rsidR="00921387" w:rsidRDefault="00921387">
      <w:r>
        <w:separator/>
      </w:r>
    </w:p>
  </w:footnote>
  <w:footnote w:type="continuationSeparator" w:id="0">
    <w:p w14:paraId="1B7FEDD3" w14:textId="77777777" w:rsidR="00921387" w:rsidRDefault="00921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E42E8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FF9"/>
    <w:rsid w:val="0000542E"/>
    <w:rsid w:val="00026666"/>
    <w:rsid w:val="00045FF9"/>
    <w:rsid w:val="00061B30"/>
    <w:rsid w:val="00071E46"/>
    <w:rsid w:val="0007294D"/>
    <w:rsid w:val="000871CB"/>
    <w:rsid w:val="00087D6C"/>
    <w:rsid w:val="00095F22"/>
    <w:rsid w:val="00095FC2"/>
    <w:rsid w:val="000B28E6"/>
    <w:rsid w:val="001000A4"/>
    <w:rsid w:val="0010428C"/>
    <w:rsid w:val="00106FF8"/>
    <w:rsid w:val="00145C84"/>
    <w:rsid w:val="00181F9D"/>
    <w:rsid w:val="00185CE7"/>
    <w:rsid w:val="00192C07"/>
    <w:rsid w:val="001B23E8"/>
    <w:rsid w:val="001D00FE"/>
    <w:rsid w:val="001D0697"/>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23CFF"/>
    <w:rsid w:val="003305A6"/>
    <w:rsid w:val="00340B0A"/>
    <w:rsid w:val="0034650C"/>
    <w:rsid w:val="00364D5F"/>
    <w:rsid w:val="00375E8E"/>
    <w:rsid w:val="003763E3"/>
    <w:rsid w:val="003806A0"/>
    <w:rsid w:val="003B0C50"/>
    <w:rsid w:val="003F1CAD"/>
    <w:rsid w:val="003F7C8A"/>
    <w:rsid w:val="00431557"/>
    <w:rsid w:val="00463385"/>
    <w:rsid w:val="00466526"/>
    <w:rsid w:val="00471D64"/>
    <w:rsid w:val="0049237B"/>
    <w:rsid w:val="0049698C"/>
    <w:rsid w:val="004A02B6"/>
    <w:rsid w:val="004A1B58"/>
    <w:rsid w:val="004A2CC8"/>
    <w:rsid w:val="004B192C"/>
    <w:rsid w:val="004B33CA"/>
    <w:rsid w:val="004E560D"/>
    <w:rsid w:val="004F5EF3"/>
    <w:rsid w:val="005034A4"/>
    <w:rsid w:val="00512EAE"/>
    <w:rsid w:val="0055212D"/>
    <w:rsid w:val="005537E4"/>
    <w:rsid w:val="00576674"/>
    <w:rsid w:val="005910FF"/>
    <w:rsid w:val="00593BA1"/>
    <w:rsid w:val="005B496A"/>
    <w:rsid w:val="005C1647"/>
    <w:rsid w:val="005E2DE1"/>
    <w:rsid w:val="00601626"/>
    <w:rsid w:val="00625FE6"/>
    <w:rsid w:val="00641B85"/>
    <w:rsid w:val="0066186C"/>
    <w:rsid w:val="00685AA5"/>
    <w:rsid w:val="00696C5A"/>
    <w:rsid w:val="006973C5"/>
    <w:rsid w:val="00697F1B"/>
    <w:rsid w:val="006B74AC"/>
    <w:rsid w:val="006D45EC"/>
    <w:rsid w:val="0071718E"/>
    <w:rsid w:val="0072233E"/>
    <w:rsid w:val="00726E41"/>
    <w:rsid w:val="0073115D"/>
    <w:rsid w:val="00753BC5"/>
    <w:rsid w:val="00764232"/>
    <w:rsid w:val="00783D13"/>
    <w:rsid w:val="007C6042"/>
    <w:rsid w:val="007E5475"/>
    <w:rsid w:val="007F2295"/>
    <w:rsid w:val="007F2B2C"/>
    <w:rsid w:val="00804669"/>
    <w:rsid w:val="00836B1E"/>
    <w:rsid w:val="00836C1F"/>
    <w:rsid w:val="008650DF"/>
    <w:rsid w:val="00873FD3"/>
    <w:rsid w:val="00895FD3"/>
    <w:rsid w:val="008B2BC5"/>
    <w:rsid w:val="008C242B"/>
    <w:rsid w:val="008C3104"/>
    <w:rsid w:val="008D398E"/>
    <w:rsid w:val="00910009"/>
    <w:rsid w:val="00910216"/>
    <w:rsid w:val="00920674"/>
    <w:rsid w:val="00921387"/>
    <w:rsid w:val="00942058"/>
    <w:rsid w:val="00971A4F"/>
    <w:rsid w:val="00973DEC"/>
    <w:rsid w:val="00986018"/>
    <w:rsid w:val="009B04D4"/>
    <w:rsid w:val="009B12B2"/>
    <w:rsid w:val="009C6AAE"/>
    <w:rsid w:val="009D78A0"/>
    <w:rsid w:val="00A1022F"/>
    <w:rsid w:val="00A17C70"/>
    <w:rsid w:val="00A35CBA"/>
    <w:rsid w:val="00A36369"/>
    <w:rsid w:val="00A474CF"/>
    <w:rsid w:val="00A47C10"/>
    <w:rsid w:val="00A773C8"/>
    <w:rsid w:val="00A80235"/>
    <w:rsid w:val="00A8645B"/>
    <w:rsid w:val="00A87F1E"/>
    <w:rsid w:val="00A91B20"/>
    <w:rsid w:val="00A975C4"/>
    <w:rsid w:val="00AA7D80"/>
    <w:rsid w:val="00AB1C0F"/>
    <w:rsid w:val="00AD5947"/>
    <w:rsid w:val="00AD6846"/>
    <w:rsid w:val="00B0592A"/>
    <w:rsid w:val="00B0627B"/>
    <w:rsid w:val="00B071E5"/>
    <w:rsid w:val="00B1349F"/>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27358"/>
    <w:rsid w:val="00C662C3"/>
    <w:rsid w:val="00C71448"/>
    <w:rsid w:val="00C808EC"/>
    <w:rsid w:val="00CA2BEB"/>
    <w:rsid w:val="00CA63E4"/>
    <w:rsid w:val="00CB489B"/>
    <w:rsid w:val="00CD2632"/>
    <w:rsid w:val="00CD6326"/>
    <w:rsid w:val="00D00693"/>
    <w:rsid w:val="00D17FBD"/>
    <w:rsid w:val="00D4655F"/>
    <w:rsid w:val="00D54444"/>
    <w:rsid w:val="00D6642E"/>
    <w:rsid w:val="00D85391"/>
    <w:rsid w:val="00DA0B59"/>
    <w:rsid w:val="00DB48C3"/>
    <w:rsid w:val="00DB7FE8"/>
    <w:rsid w:val="00DC0AEB"/>
    <w:rsid w:val="00DD14CC"/>
    <w:rsid w:val="00DD5047"/>
    <w:rsid w:val="00DE06F8"/>
    <w:rsid w:val="00DE2E3A"/>
    <w:rsid w:val="00DE4EF2"/>
    <w:rsid w:val="00DE5280"/>
    <w:rsid w:val="00E02DF7"/>
    <w:rsid w:val="00E159DD"/>
    <w:rsid w:val="00E35263"/>
    <w:rsid w:val="00E42E8D"/>
    <w:rsid w:val="00E44382"/>
    <w:rsid w:val="00E46CFD"/>
    <w:rsid w:val="00E47999"/>
    <w:rsid w:val="00E66A16"/>
    <w:rsid w:val="00E82677"/>
    <w:rsid w:val="00EB2EAC"/>
    <w:rsid w:val="00EC4DB7"/>
    <w:rsid w:val="00ED175C"/>
    <w:rsid w:val="00ED5B92"/>
    <w:rsid w:val="00EF21C3"/>
    <w:rsid w:val="00F01F05"/>
    <w:rsid w:val="00F02382"/>
    <w:rsid w:val="00F05EF4"/>
    <w:rsid w:val="00F41D1C"/>
    <w:rsid w:val="00F45D10"/>
    <w:rsid w:val="00F6105E"/>
    <w:rsid w:val="00F806D9"/>
    <w:rsid w:val="00F92B55"/>
    <w:rsid w:val="00FD1805"/>
    <w:rsid w:val="00FD5340"/>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D"/>
  <w15:chartTrackingRefBased/>
  <w15:docId w15:val="{2F2ED626-7368-4EFA-BFFA-8993044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Garamond"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Garamond"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Garamond"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Garamond"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Garamond" w:hAnsi="Garamond" w:cs="Garamond"/>
      <w:b/>
      <w:bCs/>
      <w:sz w:val="20"/>
      <w:szCs w:val="20"/>
    </w:rPr>
  </w:style>
  <w:style w:type="paragraph" w:styleId="Revision">
    <w:name w:val="Revision"/>
    <w:hidden/>
    <w:uiPriority w:val="99"/>
    <w:semiHidden/>
    <w:rsid w:val="0034650C"/>
    <w:pPr>
      <w:spacing w:after="0" w:line="240" w:lineRule="auto"/>
    </w:pPr>
    <w:rPr>
      <w:rFonts w:ascii="Garamond" w:eastAsia="Garamond"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Garamond" w:hAnsi="Segoe UI" w:cs="Segoe UI"/>
      <w:sz w:val="18"/>
      <w:szCs w:val="18"/>
    </w:rPr>
  </w:style>
  <w:style w:type="character" w:customStyle="1" w:styleId="UnresolvedMention1">
    <w:name w:val="Unresolved Mention1"/>
    <w:basedOn w:val="DefaultParagraphFont"/>
    <w:uiPriority w:val="99"/>
    <w:semiHidden/>
    <w:unhideWhenUsed/>
    <w:rsid w:val="00C6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7F85.A5D734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cure.ethicspoint.com/domain/media/en/gui/742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414A-D3F3-4E65-98C3-579AA5976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1991</Words>
  <Characters>10697</Characters>
  <Application>Microsoft Office Word</Application>
  <DocSecurity>0</DocSecurity>
  <Lines>162</Lines>
  <Paragraphs>27</Paragraphs>
  <ScaleCrop>false</ScaleCrop>
  <HeadingPairs>
    <vt:vector size="2" baseType="variant">
      <vt:variant>
        <vt:lpstr>Title</vt:lpstr>
      </vt:variant>
      <vt:variant>
        <vt:i4>1</vt:i4>
      </vt:variant>
    </vt:vector>
  </HeadingPairs>
  <TitlesOfParts>
    <vt:vector size="1" baseType="lpstr">
      <vt:lpstr/>
    </vt:vector>
  </TitlesOfParts>
  <Manager/>
  <Company>ASTA-USA</Company>
  <LinksUpToDate>false</LinksUpToDate>
  <CharactersWithSpaces>12661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Kerry</dc:creator>
  <cp:keywords/>
  <dc:description/>
  <cp:lastModifiedBy>Mohan, Kerry</cp:lastModifiedBy>
  <cp:revision>2</cp:revision>
  <dcterms:created xsi:type="dcterms:W3CDTF">2022-08-30T14:06:00Z</dcterms:created>
  <dcterms:modified xsi:type="dcterms:W3CDTF">2022-08-30T14:06:00Z</dcterms:modified>
  <cp:category/>
</cp:coreProperties>
</file>