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44375" w14:textId="77777777" w:rsidR="00045FF9" w:rsidRPr="00812247" w:rsidRDefault="00045FF9" w:rsidP="00045FF9">
      <w:pPr>
        <w:pStyle w:val="BodyText"/>
        <w:contextualSpacing/>
        <w:jc w:val="center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noProof/>
          <w:sz w:val="22"/>
          <w:szCs w:val="22"/>
          <w:lang w:val="pl-PL" w:eastAsia="pl-PL"/>
        </w:rPr>
        <w:drawing>
          <wp:inline distT="0" distB="0" distL="0" distR="0" wp14:anchorId="7C0FBFE5" wp14:editId="0341A69C">
            <wp:extent cx="1743075" cy="484098"/>
            <wp:effectExtent l="0" t="0" r="0" b="0"/>
            <wp:docPr id="1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244" cy="49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CCB2D" w14:textId="77777777" w:rsidR="00045FF9" w:rsidRPr="00812247" w:rsidRDefault="000874AC" w:rsidP="00045FF9">
      <w:pPr>
        <w:pStyle w:val="BodyText"/>
        <w:spacing w:before="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pl-PL"/>
        </w:rPr>
      </w:pPr>
      <w:r>
        <w:rPr>
          <w:noProof/>
        </w:rPr>
        <w:pict w14:anchorId="3AB8C0AA">
          <v:line id="Straight Connector 3" o:spid="_x0000_s1027" style="position:absolute;left:0;text-align:left;z-index:251659264;visibility:visible;mso-wrap-style:square;mso-width-percent:0;mso-height-percent:0;mso-wrap-distance-left:0;mso-wrap-distance-right:0;mso-position-horizontal:absolute;mso-position-horizontal-relative:page;mso-position-vertical:absolute;mso-position-vertical-relative:text;mso-width-percent:0;mso-height-percent:0;mso-width-relative:page;mso-height-relative:page" from="75.55pt,9.8pt" to="547.8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" strokecolor="#666" strokeweight="1.5pt">
            <w10:wrap type="topAndBottom" anchorx="page"/>
          </v:line>
        </w:pict>
      </w:r>
      <w:r w:rsidR="00A95A28" w:rsidRPr="00812247">
        <w:rPr>
          <w:rFonts w:ascii="Times New Roman" w:hAnsi="Times New Roman" w:cs="Times New Roman"/>
          <w:b/>
          <w:bCs/>
          <w:sz w:val="22"/>
          <w:szCs w:val="22"/>
          <w:lang w:val="pl-PL"/>
        </w:rPr>
        <w:t>Regulamin przestrzegania postanowień dyrektywy Unii Europejskiej o ochronie sygnalistów</w:t>
      </w:r>
      <w:r w:rsidR="008E6D3B" w:rsidRPr="0081224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(dyrektywy w sprawie ochrony osób zgłaszających naruszenia prawa Unii)</w:t>
      </w:r>
      <w:r w:rsidR="00A95A28" w:rsidRPr="00812247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</w:p>
    <w:p w14:paraId="10BB57F0" w14:textId="77777777" w:rsidR="00A95A28" w:rsidRPr="00812247" w:rsidRDefault="000874AC" w:rsidP="00A95A28">
      <w:pPr>
        <w:pStyle w:val="BodyText"/>
        <w:tabs>
          <w:tab w:val="left" w:pos="5040"/>
        </w:tabs>
        <w:spacing w:before="4"/>
        <w:contextualSpacing/>
        <w:rPr>
          <w:rFonts w:ascii="Times New Roman" w:hAnsi="Times New Roman" w:cs="Times New Roman"/>
          <w:lang w:val="pl-PL"/>
        </w:rPr>
      </w:pPr>
      <w:r>
        <w:rPr>
          <w:noProof/>
        </w:rPr>
        <w:pict w14:anchorId="2F8E1AE6">
          <v:line id="Straight Connector 2" o:spid="_x0000_s1026" style="position:absolute;z-index:251660288;visibility:visible;mso-wrap-style:square;mso-width-percent:0;mso-height-percent:0;mso-wrap-distance-left:0;mso-wrap-distance-right:0;mso-position-horizontal:absolute;mso-position-horizontal-relative:page;mso-position-vertical:absolute;mso-position-vertical-relative:text;mso-width-percent:0;mso-height-percent:0;mso-width-relative:page;mso-height-relative:page" from="75.05pt,8.5pt" to="548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" strokecolor="#666" strokeweight=".37397mm">
            <w10:wrap type="topAndBottom" anchorx="page"/>
          </v:line>
        </w:pict>
      </w:r>
      <w:r w:rsidR="00045FF9" w:rsidRPr="00812247">
        <w:rPr>
          <w:rFonts w:ascii="Times New Roman" w:hAnsi="Times New Roman" w:cs="Times New Roman"/>
          <w:b/>
          <w:spacing w:val="45"/>
          <w:sz w:val="22"/>
          <w:szCs w:val="22"/>
          <w:lang w:val="pl-PL"/>
        </w:rPr>
        <w:t xml:space="preserve"> </w:t>
      </w:r>
    </w:p>
    <w:tbl>
      <w:tblPr>
        <w:tblStyle w:val="Tabela-Siatka1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0"/>
        <w:gridCol w:w="4068"/>
      </w:tblGrid>
      <w:tr w:rsidR="00A95A28" w:rsidRPr="00812247" w14:paraId="437E91A4" w14:textId="77777777" w:rsidTr="00A95A28">
        <w:tc>
          <w:tcPr>
            <w:tcW w:w="5560" w:type="dxa"/>
            <w:shd w:val="clear" w:color="auto" w:fill="auto"/>
          </w:tcPr>
          <w:p w14:paraId="7E295CD0" w14:textId="77777777" w:rsidR="00A95A28" w:rsidRPr="00812247" w:rsidRDefault="00A95A28" w:rsidP="00A95A28">
            <w:pPr>
              <w:tabs>
                <w:tab w:val="left" w:pos="5760"/>
                <w:tab w:val="left" w:pos="6120"/>
                <w:tab w:val="left" w:pos="6480"/>
                <w:tab w:val="right" w:pos="9317"/>
              </w:tabs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lang w:val="pl-PL"/>
              </w:rPr>
              <w:t>Kategoria:</w:t>
            </w:r>
            <w:r w:rsidRPr="00812247">
              <w:rPr>
                <w:rFonts w:ascii="Times New Roman" w:hAnsi="Times New Roman" w:cs="Times New Roman"/>
                <w:bCs/>
                <w:lang w:val="pl-PL"/>
              </w:rPr>
              <w:t xml:space="preserve"> Obszar funkcyjny</w:t>
            </w:r>
          </w:p>
        </w:tc>
        <w:tc>
          <w:tcPr>
            <w:tcW w:w="4068" w:type="dxa"/>
            <w:shd w:val="clear" w:color="auto" w:fill="auto"/>
          </w:tcPr>
          <w:p w14:paraId="13DA9479" w14:textId="77777777" w:rsidR="00A95A28" w:rsidRPr="00812247" w:rsidRDefault="00A95A28" w:rsidP="000874AC">
            <w:pPr>
              <w:tabs>
                <w:tab w:val="left" w:pos="5760"/>
                <w:tab w:val="left" w:pos="6120"/>
                <w:tab w:val="left" w:pos="6480"/>
                <w:tab w:val="right" w:pos="9317"/>
              </w:tabs>
              <w:ind w:left="-165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lang w:val="pl-PL"/>
              </w:rPr>
              <w:t xml:space="preserve">Data utworzenia: </w:t>
            </w:r>
            <w:r w:rsidRPr="00812247">
              <w:rPr>
                <w:rFonts w:ascii="Times New Roman" w:hAnsi="Times New Roman" w:cs="Times New Roman"/>
                <w:bCs/>
                <w:lang w:val="pl-PL"/>
              </w:rPr>
              <w:t>sierpień 2022 r.</w:t>
            </w:r>
          </w:p>
        </w:tc>
      </w:tr>
      <w:tr w:rsidR="00A95A28" w:rsidRPr="00812247" w14:paraId="63015DAE" w14:textId="77777777" w:rsidTr="00A95A28">
        <w:tc>
          <w:tcPr>
            <w:tcW w:w="5560" w:type="dxa"/>
            <w:shd w:val="clear" w:color="auto" w:fill="auto"/>
          </w:tcPr>
          <w:p w14:paraId="69A61672" w14:textId="77777777" w:rsidR="00A95A28" w:rsidRPr="00812247" w:rsidRDefault="004D2BF5" w:rsidP="00A95A28">
            <w:pPr>
              <w:tabs>
                <w:tab w:val="left" w:pos="5760"/>
                <w:tab w:val="left" w:pos="6120"/>
                <w:tab w:val="left" w:pos="6480"/>
                <w:tab w:val="right" w:pos="9317"/>
              </w:tabs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lang w:val="pl-PL"/>
              </w:rPr>
              <w:t>Odpowiedzialny d</w:t>
            </w:r>
            <w:r w:rsidR="00A95A28" w:rsidRPr="00812247">
              <w:rPr>
                <w:rFonts w:ascii="Times New Roman" w:hAnsi="Times New Roman" w:cs="Times New Roman"/>
                <w:b/>
                <w:bCs/>
                <w:lang w:val="pl-PL"/>
              </w:rPr>
              <w:t>ział:</w:t>
            </w:r>
            <w:r w:rsidR="00A95A28" w:rsidRPr="00812247">
              <w:rPr>
                <w:rFonts w:ascii="Times New Roman" w:hAnsi="Times New Roman" w:cs="Times New Roman"/>
                <w:bCs/>
                <w:lang w:val="pl-PL"/>
              </w:rPr>
              <w:t xml:space="preserve"> Nazwa departamentu</w:t>
            </w:r>
          </w:p>
        </w:tc>
        <w:tc>
          <w:tcPr>
            <w:tcW w:w="4068" w:type="dxa"/>
            <w:shd w:val="clear" w:color="auto" w:fill="auto"/>
          </w:tcPr>
          <w:p w14:paraId="23B7F366" w14:textId="77777777" w:rsidR="00A95A28" w:rsidRPr="00812247" w:rsidRDefault="00A95A28" w:rsidP="000874AC">
            <w:pPr>
              <w:tabs>
                <w:tab w:val="left" w:pos="5760"/>
                <w:tab w:val="left" w:pos="6120"/>
                <w:tab w:val="left" w:pos="6480"/>
                <w:tab w:val="right" w:pos="9317"/>
              </w:tabs>
              <w:ind w:left="-165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lang w:val="pl-PL"/>
              </w:rPr>
              <w:t xml:space="preserve">Data ostatniej weryfikacji: </w:t>
            </w:r>
            <w:r w:rsidR="004D2BF5" w:rsidRPr="00812247">
              <w:rPr>
                <w:rFonts w:ascii="Times New Roman" w:hAnsi="Times New Roman" w:cs="Times New Roman"/>
                <w:bCs/>
                <w:lang w:val="pl-PL"/>
              </w:rPr>
              <w:t>sierpień 2022</w:t>
            </w:r>
            <w:r w:rsidRPr="00812247">
              <w:rPr>
                <w:rFonts w:ascii="Times New Roman" w:hAnsi="Times New Roman" w:cs="Times New Roman"/>
                <w:bCs/>
                <w:lang w:val="pl-PL"/>
              </w:rPr>
              <w:t xml:space="preserve"> r.</w:t>
            </w:r>
          </w:p>
        </w:tc>
      </w:tr>
      <w:tr w:rsidR="00A95A28" w:rsidRPr="00812247" w14:paraId="4A172406" w14:textId="77777777" w:rsidTr="00A95A28">
        <w:tc>
          <w:tcPr>
            <w:tcW w:w="5560" w:type="dxa"/>
            <w:shd w:val="clear" w:color="auto" w:fill="auto"/>
          </w:tcPr>
          <w:p w14:paraId="4673BCF1" w14:textId="77777777" w:rsidR="00A95A28" w:rsidRPr="00812247" w:rsidRDefault="00A95A28" w:rsidP="00A95A28">
            <w:pPr>
              <w:tabs>
                <w:tab w:val="left" w:pos="5760"/>
                <w:tab w:val="left" w:pos="6120"/>
                <w:tab w:val="left" w:pos="6480"/>
                <w:tab w:val="right" w:pos="9317"/>
              </w:tabs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lang w:val="pl-PL"/>
              </w:rPr>
              <w:t>Odpowiedzialny członek kierownictwa:</w:t>
            </w:r>
            <w:r w:rsidRPr="00812247">
              <w:rPr>
                <w:rFonts w:ascii="Times New Roman" w:hAnsi="Times New Roman" w:cs="Times New Roman"/>
                <w:bCs/>
                <w:lang w:val="pl-PL"/>
              </w:rPr>
              <w:t xml:space="preserve"> Ehsan Zargar</w:t>
            </w:r>
          </w:p>
        </w:tc>
        <w:tc>
          <w:tcPr>
            <w:tcW w:w="4068" w:type="dxa"/>
            <w:shd w:val="clear" w:color="auto" w:fill="auto"/>
          </w:tcPr>
          <w:p w14:paraId="6124567F" w14:textId="77777777" w:rsidR="00A95A28" w:rsidRPr="00812247" w:rsidRDefault="00A95A28" w:rsidP="000874AC">
            <w:pPr>
              <w:tabs>
                <w:tab w:val="left" w:pos="5760"/>
                <w:tab w:val="left" w:pos="6120"/>
                <w:tab w:val="left" w:pos="6480"/>
                <w:tab w:val="right" w:pos="9317"/>
              </w:tabs>
              <w:ind w:left="-165"/>
              <w:rPr>
                <w:rFonts w:ascii="Times New Roman" w:hAnsi="Times New Roman" w:cs="Times New Roman"/>
                <w:b/>
                <w:bCs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lang w:val="pl-PL"/>
              </w:rPr>
              <w:t>Data zamieszczenia w bibliotece SPB:</w:t>
            </w:r>
            <w:r w:rsidRPr="00812247">
              <w:rPr>
                <w:rFonts w:ascii="Times New Roman" w:hAnsi="Times New Roman" w:cs="Times New Roman"/>
                <w:bCs/>
                <w:lang w:val="pl-PL"/>
              </w:rPr>
              <w:t xml:space="preserve"> sierpień 2022 r.</w:t>
            </w:r>
          </w:p>
        </w:tc>
      </w:tr>
    </w:tbl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045FF9" w:rsidRPr="00812247" w14:paraId="14F89043" w14:textId="77777777" w:rsidTr="003473B4">
        <w:trPr>
          <w:trHeight w:val="260"/>
        </w:trPr>
        <w:tc>
          <w:tcPr>
            <w:tcW w:w="9450" w:type="dxa"/>
          </w:tcPr>
          <w:p w14:paraId="74CDC481" w14:textId="77777777" w:rsidR="00045FF9" w:rsidRPr="00812247" w:rsidRDefault="00045FF9" w:rsidP="00A95A28">
            <w:pPr>
              <w:pStyle w:val="BodyText"/>
              <w:spacing w:before="123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S</w:t>
            </w:r>
            <w:r w:rsidR="00A95A28" w:rsidRPr="008122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treszczenie</w:t>
            </w:r>
          </w:p>
        </w:tc>
      </w:tr>
    </w:tbl>
    <w:p w14:paraId="1EC31682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p w14:paraId="3D434D99" w14:textId="77777777" w:rsidR="00045FF9" w:rsidRPr="00812247" w:rsidRDefault="00A95A28" w:rsidP="00B5092D">
      <w:pPr>
        <w:pStyle w:val="BodyText"/>
        <w:tabs>
          <w:tab w:val="left" w:pos="5040"/>
        </w:tabs>
        <w:spacing w:before="123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Niniejszy 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„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Regulamin przestrzegania postanowień dyrektywy Unii Europejskiej o ochronie sygnalistów</w:t>
      </w:r>
      <w:r w:rsidR="008E6D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(dyrektywy w sprawie ochrony osób zgłaszających naruszenia prawa Unii)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” (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„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Regulamin”) określa strategię spółki </w:t>
      </w:r>
      <w:r w:rsidR="00045FF9" w:rsidRPr="00812247">
        <w:rPr>
          <w:rFonts w:ascii="Times New Roman" w:hAnsi="Times New Roman" w:cs="Times New Roman"/>
          <w:sz w:val="22"/>
          <w:szCs w:val="22"/>
          <w:lang w:val="pl-PL"/>
        </w:rPr>
        <w:t>Spectrum Brands Holdings, Inc.</w:t>
      </w:r>
      <w:r w:rsidR="0021666A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oraz jej kontrolowanych jednostek stowarzyszonych i spółek zależnych (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>zwanych łącznie „</w:t>
      </w:r>
      <w:r w:rsidR="004F30D4" w:rsidRPr="00812247">
        <w:rPr>
          <w:rFonts w:ascii="Times New Roman" w:hAnsi="Times New Roman" w:cs="Times New Roman"/>
          <w:sz w:val="22"/>
          <w:szCs w:val="22"/>
          <w:u w:val="single"/>
          <w:lang w:val="pl-PL"/>
        </w:rPr>
        <w:t>Spectrum Brands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>” lub „</w:t>
      </w:r>
      <w:r w:rsidR="004F30D4" w:rsidRPr="00812247">
        <w:rPr>
          <w:rFonts w:ascii="Times New Roman" w:hAnsi="Times New Roman" w:cs="Times New Roman"/>
          <w:sz w:val="22"/>
          <w:szCs w:val="22"/>
          <w:u w:val="single"/>
          <w:lang w:val="pl-PL"/>
        </w:rPr>
        <w:t>Spółką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>”) w celu przestrzegania w pełnym zakresie postanowień dyrektywy Unii Europejskiej (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„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EU”) </w:t>
      </w:r>
      <w:r w:rsidR="000B28E6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2019/1937, 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>dyrektywy o sygnalistach (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„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>Dyrektywy”)</w:t>
      </w:r>
      <w:r w:rsidR="00045FF9" w:rsidRPr="00812247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FF79BF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Niniejszy Regulamin stanowi przewodnik dla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ów, zgodnie z definicją zawartą w niniejszym Regulaminie, jak również dla osób przyjmujących, prowadzących </w:t>
      </w:r>
      <w:r w:rsidR="004D2BF5" w:rsidRPr="00812247">
        <w:rPr>
          <w:rFonts w:ascii="Times New Roman" w:hAnsi="Times New Roman" w:cs="Times New Roman"/>
          <w:sz w:val="22"/>
          <w:szCs w:val="22"/>
          <w:lang w:val="pl-PL"/>
        </w:rPr>
        <w:t>postępowanie sprawdzające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oraz </w:t>
      </w:r>
      <w:r w:rsidR="004D2BF5" w:rsidRPr="00812247">
        <w:rPr>
          <w:rFonts w:ascii="Times New Roman" w:hAnsi="Times New Roman" w:cs="Times New Roman"/>
          <w:sz w:val="22"/>
          <w:szCs w:val="22"/>
          <w:lang w:val="pl-PL"/>
        </w:rPr>
        <w:t>wykonujących dalsze czynności w kwestii zgłoszeń</w:t>
      </w:r>
      <w:r w:rsidR="004F30D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zgodnie z niniejszym Regulaminem. </w:t>
      </w:r>
    </w:p>
    <w:p w14:paraId="5A04AE4A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9450"/>
      </w:tblGrid>
      <w:tr w:rsidR="00045FF9" w:rsidRPr="00812247" w14:paraId="73A34421" w14:textId="77777777" w:rsidTr="003473B4">
        <w:tc>
          <w:tcPr>
            <w:tcW w:w="9450" w:type="dxa"/>
          </w:tcPr>
          <w:p w14:paraId="009F2035" w14:textId="77777777" w:rsidR="00045FF9" w:rsidRPr="00812247" w:rsidRDefault="00756C3B" w:rsidP="003473B4">
            <w:pPr>
              <w:pStyle w:val="BodyText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Zakres</w:t>
            </w:r>
          </w:p>
        </w:tc>
      </w:tr>
    </w:tbl>
    <w:p w14:paraId="59798CA4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p w14:paraId="27154F1D" w14:textId="77777777" w:rsidR="00756C3B" w:rsidRPr="00812247" w:rsidRDefault="00756C3B" w:rsidP="00756C3B">
      <w:pPr>
        <w:jc w:val="both"/>
        <w:rPr>
          <w:rFonts w:ascii="Times New Roman" w:hAnsi="Times New Roman" w:cs="Times New Roman"/>
          <w:lang w:val="pl-PL"/>
        </w:rPr>
      </w:pPr>
      <w:r w:rsidRPr="00812247">
        <w:rPr>
          <w:rFonts w:ascii="Times New Roman" w:hAnsi="Times New Roman" w:cs="Times New Roman"/>
          <w:lang w:val="pl-PL"/>
        </w:rPr>
        <w:t xml:space="preserve">Niniejszy Regulamin obowiązuje wszystkich pracowników, którzy wykonują pracę w Unii Europejskiej, z uwzględnieniem pracowników pełnoetatowych, zatrudnionych w niepełnym wymiarze godzin, sezonowych, jak również pracowników zatrudnionych na czas określony, stażystów lub wykonawców występujących w imieniu spółki Spectrum Brands. Regulamin chroni również osoby, które nie są jeszcze zatrudnione przez spółkę Spectrum Brands, jeśli informacje, które chcą zgłosić, zostały uzyskane w trakcie procesu rekrutacyjnego lub w trakcie negocjacji </w:t>
      </w:r>
      <w:r w:rsidR="00A33A45" w:rsidRPr="00812247">
        <w:rPr>
          <w:rFonts w:ascii="Times New Roman" w:hAnsi="Times New Roman" w:cs="Times New Roman"/>
          <w:lang w:val="pl-PL"/>
        </w:rPr>
        <w:t>przed</w:t>
      </w:r>
      <w:r w:rsidR="004D2BF5" w:rsidRPr="00812247">
        <w:rPr>
          <w:rFonts w:ascii="Times New Roman" w:hAnsi="Times New Roman" w:cs="Times New Roman"/>
          <w:lang w:val="pl-PL"/>
        </w:rPr>
        <w:t xml:space="preserve"> zawarciem </w:t>
      </w:r>
      <w:r w:rsidR="00A33A45" w:rsidRPr="00812247">
        <w:rPr>
          <w:rFonts w:ascii="Times New Roman" w:hAnsi="Times New Roman" w:cs="Times New Roman"/>
          <w:lang w:val="pl-PL"/>
        </w:rPr>
        <w:t>umow</w:t>
      </w:r>
      <w:r w:rsidR="004D2BF5" w:rsidRPr="00812247">
        <w:rPr>
          <w:rFonts w:ascii="Times New Roman" w:hAnsi="Times New Roman" w:cs="Times New Roman"/>
          <w:lang w:val="pl-PL"/>
        </w:rPr>
        <w:t>y</w:t>
      </w:r>
      <w:r w:rsidR="00A33A45" w:rsidRPr="00812247">
        <w:rPr>
          <w:rFonts w:ascii="Times New Roman" w:hAnsi="Times New Roman" w:cs="Times New Roman"/>
          <w:lang w:val="pl-PL"/>
        </w:rPr>
        <w:t>. W niektórych krajach mogą występować wymogi prawa miejscowego, które różnią się lub</w:t>
      </w:r>
      <w:r w:rsidR="004269F6" w:rsidRPr="00812247">
        <w:rPr>
          <w:rFonts w:ascii="Times New Roman" w:hAnsi="Times New Roman" w:cs="Times New Roman"/>
          <w:lang w:val="pl-PL"/>
        </w:rPr>
        <w:t xml:space="preserve"> wychodzą poza zakres wymogów niniejszego Regulaminu. W ta</w:t>
      </w:r>
      <w:r w:rsidR="004D2BF5" w:rsidRPr="00812247">
        <w:rPr>
          <w:rFonts w:ascii="Times New Roman" w:hAnsi="Times New Roman" w:cs="Times New Roman"/>
          <w:lang w:val="pl-PL"/>
        </w:rPr>
        <w:t>kim przypadku obowiązywać będą</w:t>
      </w:r>
      <w:r w:rsidR="004269F6" w:rsidRPr="00812247">
        <w:rPr>
          <w:rFonts w:ascii="Times New Roman" w:hAnsi="Times New Roman" w:cs="Times New Roman"/>
          <w:lang w:val="pl-PL"/>
        </w:rPr>
        <w:t xml:space="preserve"> </w:t>
      </w:r>
      <w:r w:rsidR="004D2BF5" w:rsidRPr="00812247">
        <w:rPr>
          <w:rFonts w:ascii="Times New Roman" w:hAnsi="Times New Roman" w:cs="Times New Roman"/>
          <w:lang w:val="pl-PL"/>
        </w:rPr>
        <w:t>dodatkowo wszelkie</w:t>
      </w:r>
      <w:r w:rsidR="004269F6" w:rsidRPr="00812247">
        <w:rPr>
          <w:rFonts w:ascii="Times New Roman" w:hAnsi="Times New Roman" w:cs="Times New Roman"/>
          <w:lang w:val="pl-PL"/>
        </w:rPr>
        <w:t xml:space="preserve"> obowiązujące </w:t>
      </w:r>
      <w:r w:rsidR="004D2BF5" w:rsidRPr="00812247">
        <w:rPr>
          <w:rFonts w:ascii="Times New Roman" w:hAnsi="Times New Roman" w:cs="Times New Roman"/>
          <w:lang w:val="pl-PL"/>
        </w:rPr>
        <w:t>przepisy prawa</w:t>
      </w:r>
      <w:r w:rsidR="004269F6" w:rsidRPr="00812247">
        <w:rPr>
          <w:rFonts w:ascii="Times New Roman" w:hAnsi="Times New Roman" w:cs="Times New Roman"/>
          <w:lang w:val="pl-PL"/>
        </w:rPr>
        <w:t xml:space="preserve"> lub </w:t>
      </w:r>
      <w:r w:rsidR="004D2BF5" w:rsidRPr="00812247">
        <w:rPr>
          <w:rFonts w:ascii="Times New Roman" w:hAnsi="Times New Roman" w:cs="Times New Roman"/>
          <w:lang w:val="pl-PL"/>
        </w:rPr>
        <w:t>regulaminy</w:t>
      </w:r>
      <w:r w:rsidR="004269F6" w:rsidRPr="00812247">
        <w:rPr>
          <w:rFonts w:ascii="Times New Roman" w:hAnsi="Times New Roman" w:cs="Times New Roman"/>
          <w:lang w:val="pl-PL"/>
        </w:rPr>
        <w:t xml:space="preserve"> miejs</w:t>
      </w:r>
      <w:r w:rsidR="004D2BF5" w:rsidRPr="00812247">
        <w:rPr>
          <w:rFonts w:ascii="Times New Roman" w:hAnsi="Times New Roman" w:cs="Times New Roman"/>
          <w:lang w:val="pl-PL"/>
        </w:rPr>
        <w:t>cowe</w:t>
      </w:r>
      <w:r w:rsidR="005D696D" w:rsidRPr="00812247">
        <w:rPr>
          <w:rFonts w:ascii="Times New Roman" w:hAnsi="Times New Roman" w:cs="Times New Roman"/>
          <w:lang w:val="pl-PL"/>
        </w:rPr>
        <w:t>. Występuje niewielkie p</w:t>
      </w:r>
      <w:r w:rsidR="004269F6" w:rsidRPr="00812247">
        <w:rPr>
          <w:rFonts w:ascii="Times New Roman" w:hAnsi="Times New Roman" w:cs="Times New Roman"/>
          <w:lang w:val="pl-PL"/>
        </w:rPr>
        <w:t xml:space="preserve">rawdopodobieństwo, że kiedykolwiek </w:t>
      </w:r>
      <w:r w:rsidR="004D2BF5" w:rsidRPr="00812247">
        <w:rPr>
          <w:rFonts w:ascii="Times New Roman" w:hAnsi="Times New Roman" w:cs="Times New Roman"/>
          <w:lang w:val="pl-PL"/>
        </w:rPr>
        <w:t>wystąpi</w:t>
      </w:r>
      <w:r w:rsidR="005D696D" w:rsidRPr="00812247">
        <w:rPr>
          <w:rFonts w:ascii="Times New Roman" w:hAnsi="Times New Roman" w:cs="Times New Roman"/>
          <w:lang w:val="pl-PL"/>
        </w:rPr>
        <w:t xml:space="preserve"> </w:t>
      </w:r>
      <w:r w:rsidR="004269F6" w:rsidRPr="00812247">
        <w:rPr>
          <w:rFonts w:ascii="Times New Roman" w:hAnsi="Times New Roman" w:cs="Times New Roman"/>
          <w:lang w:val="pl-PL"/>
        </w:rPr>
        <w:t xml:space="preserve">sprzeczność pomiędzy obowiązującym prawem miejscowym a postanowieniami niniejszego Regulaminu, ale, jeśli </w:t>
      </w:r>
      <w:r w:rsidR="004D2BF5" w:rsidRPr="00812247">
        <w:rPr>
          <w:rFonts w:ascii="Times New Roman" w:hAnsi="Times New Roman" w:cs="Times New Roman"/>
          <w:lang w:val="pl-PL"/>
        </w:rPr>
        <w:t>ma to miejsce</w:t>
      </w:r>
      <w:r w:rsidR="004269F6" w:rsidRPr="00812247">
        <w:rPr>
          <w:rFonts w:ascii="Times New Roman" w:hAnsi="Times New Roman" w:cs="Times New Roman"/>
          <w:lang w:val="pl-PL"/>
        </w:rPr>
        <w:t xml:space="preserve"> lub jeśli zidentyfikują Państwo taką sytuację, prosimy o poinformowanie </w:t>
      </w:r>
      <w:r w:rsidR="005D696D" w:rsidRPr="00812247">
        <w:rPr>
          <w:rFonts w:ascii="Times New Roman" w:hAnsi="Times New Roman" w:cs="Times New Roman"/>
          <w:lang w:val="pl-PL"/>
        </w:rPr>
        <w:t xml:space="preserve">spółki </w:t>
      </w:r>
      <w:r w:rsidR="004269F6" w:rsidRPr="00812247">
        <w:rPr>
          <w:rFonts w:ascii="Times New Roman" w:hAnsi="Times New Roman" w:cs="Times New Roman"/>
          <w:lang w:val="pl-PL"/>
        </w:rPr>
        <w:t>Spectrum Bran</w:t>
      </w:r>
      <w:r w:rsidR="005D696D" w:rsidRPr="00812247">
        <w:rPr>
          <w:rFonts w:ascii="Times New Roman" w:hAnsi="Times New Roman" w:cs="Times New Roman"/>
          <w:lang w:val="pl-PL"/>
        </w:rPr>
        <w:t>d</w:t>
      </w:r>
      <w:r w:rsidR="004D2BF5" w:rsidRPr="00812247">
        <w:rPr>
          <w:rFonts w:ascii="Times New Roman" w:hAnsi="Times New Roman" w:cs="Times New Roman"/>
          <w:lang w:val="pl-PL"/>
        </w:rPr>
        <w:t>s, przy czym</w:t>
      </w:r>
      <w:r w:rsidR="004269F6" w:rsidRPr="00812247">
        <w:rPr>
          <w:rFonts w:ascii="Times New Roman" w:hAnsi="Times New Roman" w:cs="Times New Roman"/>
          <w:lang w:val="pl-PL"/>
        </w:rPr>
        <w:t xml:space="preserve"> w każdym przypadku prawo miejscowe będzie nadrzędne </w:t>
      </w:r>
      <w:r w:rsidR="004D2BF5" w:rsidRPr="00812247">
        <w:rPr>
          <w:rFonts w:ascii="Times New Roman" w:hAnsi="Times New Roman" w:cs="Times New Roman"/>
          <w:lang w:val="pl-PL"/>
        </w:rPr>
        <w:t>wobec sprzecznego z nim</w:t>
      </w:r>
      <w:r w:rsidR="00E04BFD" w:rsidRPr="00812247">
        <w:rPr>
          <w:rFonts w:ascii="Times New Roman" w:hAnsi="Times New Roman" w:cs="Times New Roman"/>
          <w:lang w:val="pl-PL"/>
        </w:rPr>
        <w:t xml:space="preserve"> wymog</w:t>
      </w:r>
      <w:r w:rsidR="004D2BF5" w:rsidRPr="00812247">
        <w:rPr>
          <w:rFonts w:ascii="Times New Roman" w:hAnsi="Times New Roman" w:cs="Times New Roman"/>
          <w:lang w:val="pl-PL"/>
        </w:rPr>
        <w:t>u</w:t>
      </w:r>
      <w:r w:rsidR="00E04BFD" w:rsidRPr="00812247">
        <w:rPr>
          <w:rFonts w:ascii="Times New Roman" w:hAnsi="Times New Roman" w:cs="Times New Roman"/>
          <w:lang w:val="pl-PL"/>
        </w:rPr>
        <w:t xml:space="preserve"> zawart</w:t>
      </w:r>
      <w:r w:rsidR="004D2BF5" w:rsidRPr="00812247">
        <w:rPr>
          <w:rFonts w:ascii="Times New Roman" w:hAnsi="Times New Roman" w:cs="Times New Roman"/>
          <w:lang w:val="pl-PL"/>
        </w:rPr>
        <w:t>ego</w:t>
      </w:r>
      <w:r w:rsidR="00E04BFD" w:rsidRPr="00812247">
        <w:rPr>
          <w:rFonts w:ascii="Times New Roman" w:hAnsi="Times New Roman" w:cs="Times New Roman"/>
          <w:lang w:val="pl-PL"/>
        </w:rPr>
        <w:t xml:space="preserve"> w niniejszym Regulaminie. </w:t>
      </w:r>
      <w:r w:rsidRPr="00812247">
        <w:rPr>
          <w:rFonts w:ascii="Times New Roman" w:hAnsi="Times New Roman" w:cs="Times New Roman"/>
          <w:lang w:val="pl-PL"/>
        </w:rPr>
        <w:t xml:space="preserve">Regulamin nie uwzględnia i w jego zamysłach nie leży uwzględnienie każdego obowiązującego przepisu, ani </w:t>
      </w:r>
      <w:r w:rsidR="004D2BF5" w:rsidRPr="00812247">
        <w:rPr>
          <w:rFonts w:ascii="Times New Roman" w:hAnsi="Times New Roman" w:cs="Times New Roman"/>
          <w:lang w:val="pl-PL"/>
        </w:rPr>
        <w:t xml:space="preserve">też </w:t>
      </w:r>
      <w:r w:rsidRPr="00812247">
        <w:rPr>
          <w:rFonts w:ascii="Times New Roman" w:hAnsi="Times New Roman" w:cs="Times New Roman"/>
          <w:lang w:val="pl-PL"/>
        </w:rPr>
        <w:t xml:space="preserve">nie zapewnia odpowiedzi na wszystkie pytania, które mogą wystąpić. W tym zakresie </w:t>
      </w:r>
      <w:r w:rsidR="004D2BF5" w:rsidRPr="00812247">
        <w:rPr>
          <w:rFonts w:ascii="Times New Roman" w:hAnsi="Times New Roman" w:cs="Times New Roman"/>
          <w:lang w:val="pl-PL"/>
        </w:rPr>
        <w:t>musimy ostatecznie</w:t>
      </w:r>
      <w:r w:rsidRPr="00812247">
        <w:rPr>
          <w:rFonts w:ascii="Times New Roman" w:hAnsi="Times New Roman" w:cs="Times New Roman"/>
          <w:lang w:val="pl-PL"/>
        </w:rPr>
        <w:t xml:space="preserve"> polegać na rzetelnym podejściu każdej osoby</w:t>
      </w:r>
      <w:r w:rsidR="00E04BFD" w:rsidRPr="00812247">
        <w:rPr>
          <w:rFonts w:ascii="Times New Roman" w:hAnsi="Times New Roman" w:cs="Times New Roman"/>
          <w:lang w:val="pl-PL"/>
        </w:rPr>
        <w:t xml:space="preserve"> </w:t>
      </w:r>
      <w:r w:rsidR="004B45D4" w:rsidRPr="00812247">
        <w:rPr>
          <w:rFonts w:ascii="Times New Roman" w:hAnsi="Times New Roman" w:cs="Times New Roman"/>
          <w:lang w:val="pl-PL"/>
        </w:rPr>
        <w:t xml:space="preserve">w ustalaniu </w:t>
      </w:r>
      <w:r w:rsidRPr="00812247">
        <w:rPr>
          <w:rFonts w:ascii="Times New Roman" w:hAnsi="Times New Roman" w:cs="Times New Roman"/>
          <w:lang w:val="pl-PL"/>
        </w:rPr>
        <w:t>właściwe</w:t>
      </w:r>
      <w:r w:rsidR="004B45D4" w:rsidRPr="00812247">
        <w:rPr>
          <w:rFonts w:ascii="Times New Roman" w:hAnsi="Times New Roman" w:cs="Times New Roman"/>
          <w:lang w:val="pl-PL"/>
        </w:rPr>
        <w:t>go podejścia,</w:t>
      </w:r>
      <w:r w:rsidRPr="00812247">
        <w:rPr>
          <w:rFonts w:ascii="Times New Roman" w:hAnsi="Times New Roman" w:cs="Times New Roman"/>
          <w:lang w:val="pl-PL"/>
        </w:rPr>
        <w:t xml:space="preserve"> </w:t>
      </w:r>
      <w:r w:rsidR="004B45D4" w:rsidRPr="00812247">
        <w:rPr>
          <w:rFonts w:ascii="Times New Roman" w:hAnsi="Times New Roman" w:cs="Times New Roman"/>
          <w:lang w:val="pl-PL"/>
        </w:rPr>
        <w:t xml:space="preserve">w tym na </w:t>
      </w:r>
      <w:r w:rsidRPr="00812247">
        <w:rPr>
          <w:rFonts w:ascii="Times New Roman" w:hAnsi="Times New Roman" w:cs="Times New Roman"/>
          <w:lang w:val="pl-PL"/>
        </w:rPr>
        <w:t>własnym wyczuciu, kiedy należy szukać wskazówek u innych osób</w:t>
      </w:r>
      <w:r w:rsidR="00E04BFD" w:rsidRPr="00812247">
        <w:rPr>
          <w:rFonts w:ascii="Times New Roman" w:hAnsi="Times New Roman" w:cs="Times New Roman"/>
          <w:lang w:val="pl-PL"/>
        </w:rPr>
        <w:t xml:space="preserve"> </w:t>
      </w:r>
      <w:r w:rsidR="004B45D4" w:rsidRPr="00812247">
        <w:rPr>
          <w:rFonts w:ascii="Times New Roman" w:hAnsi="Times New Roman" w:cs="Times New Roman"/>
          <w:lang w:val="pl-PL"/>
        </w:rPr>
        <w:t>w zakresie prawidłowego postępowania</w:t>
      </w:r>
      <w:r w:rsidRPr="00812247">
        <w:rPr>
          <w:rFonts w:ascii="Times New Roman" w:hAnsi="Times New Roman" w:cs="Times New Roman"/>
          <w:lang w:val="pl-PL"/>
        </w:rPr>
        <w:t xml:space="preserve">. </w:t>
      </w:r>
    </w:p>
    <w:p w14:paraId="7788D5B6" w14:textId="77777777" w:rsidR="00986018" w:rsidRPr="00812247" w:rsidRDefault="00986018" w:rsidP="00986018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577BA093" w14:textId="77777777" w:rsidR="00045FF9" w:rsidRPr="00812247" w:rsidRDefault="00DE2E3A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3CCC122D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Grid"/>
        <w:tblW w:w="9540" w:type="dxa"/>
        <w:tblInd w:w="18" w:type="dxa"/>
        <w:tblLook w:val="04A0" w:firstRow="1" w:lastRow="0" w:firstColumn="1" w:lastColumn="0" w:noHBand="0" w:noVBand="1"/>
      </w:tblPr>
      <w:tblGrid>
        <w:gridCol w:w="9540"/>
      </w:tblGrid>
      <w:tr w:rsidR="00045FF9" w:rsidRPr="00812247" w14:paraId="2C57C7D8" w14:textId="77777777" w:rsidTr="003473B4">
        <w:tc>
          <w:tcPr>
            <w:tcW w:w="9540" w:type="dxa"/>
          </w:tcPr>
          <w:p w14:paraId="7BE21BF7" w14:textId="77777777" w:rsidR="00045FF9" w:rsidRPr="00812247" w:rsidRDefault="00E04BFD" w:rsidP="003473B4">
            <w:pPr>
              <w:pStyle w:val="BodyText"/>
              <w:spacing w:before="2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Przestrzeganie postanowień Regulaminu</w:t>
            </w:r>
          </w:p>
        </w:tc>
      </w:tr>
    </w:tbl>
    <w:p w14:paraId="3E9A7FB6" w14:textId="77777777" w:rsidR="00045FF9" w:rsidRPr="00812247" w:rsidRDefault="00045FF9" w:rsidP="00045FF9">
      <w:pPr>
        <w:pStyle w:val="BodyText"/>
        <w:spacing w:before="2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48224594" w14:textId="77777777" w:rsidR="00045FF9" w:rsidRPr="00812247" w:rsidRDefault="00E04BFD" w:rsidP="00045FF9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Wprowadzenie i streszczenie</w:t>
      </w:r>
    </w:p>
    <w:p w14:paraId="65D41E26" w14:textId="77777777" w:rsidR="00045FF9" w:rsidRPr="00812247" w:rsidRDefault="00045FF9" w:rsidP="00045FF9">
      <w:pPr>
        <w:pStyle w:val="BodyText"/>
        <w:spacing w:before="2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15957A6A" w14:textId="77777777" w:rsidR="003763E3" w:rsidRPr="00812247" w:rsidRDefault="005D696D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</w:pP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„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u w:val="single"/>
          <w:lang w:val="pl-PL"/>
        </w:rPr>
        <w:t>Sygnaliści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” są osobami zgłaszającymi naruszenia przepisów albo rozporządzeń UE 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lastRenderedPageBreak/>
        <w:t>dotyczących, w szczególności, między innymi, następujących dziedzin</w:t>
      </w:r>
      <w:r w:rsidR="00087D6C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: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(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i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zamówień publicznych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ii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usług finansowych, produktów i rynków oraz zapobiegania praniu pienię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d</w:t>
      </w:r>
      <w:r w:rsidR="004B45D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zy i finansowaniu terroryzmu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iii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)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bezpieczeństwa produktów i ich zgodności z przepisami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iv</w:t>
      </w:r>
      <w:r w:rsidR="00D5444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bezpieczeństwa transportu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(v)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ochrony środowiska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(vi)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ochrony przed promieniowaniem i bezpieczeństwa nuklearnego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; 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(vii) 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bezpieczeństwa żywności i karmy, </w:t>
      </w:r>
      <w:r w:rsidR="004B45D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z uwzględnieniem zdrowia i dobrostanu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zwierząt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(viii)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zdrowia publicznego</w:t>
      </w:r>
      <w:r w:rsidR="003763E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(ix)</w:t>
      </w:r>
      <w:r w:rsidR="004B45D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ochrony konsumentów</w:t>
      </w:r>
      <w:r w:rsidR="00DE5280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(x)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ochrony prywatności i danych osobowych, z uwzględnieniem, między innymi, bezpieczeństwa</w:t>
      </w:r>
      <w:r w:rsidR="004B45D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sieci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i systemów informatycznych</w:t>
      </w:r>
      <w:r w:rsidR="00DE5280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(xi)</w:t>
      </w:r>
      <w:r w:rsidR="00E04BF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naruszeń wpływających na interes finansowy UE</w:t>
      </w:r>
      <w:r w:rsidR="005034A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;</w:t>
      </w:r>
      <w:r w:rsidR="00E44382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(xii)</w:t>
      </w:r>
      <w:r w:rsidR="00CD72FE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innych naruszeń dotyczących rynku wewnętrznego UE, z uwzględnieniem </w:t>
      </w:r>
      <w:r w:rsidR="004B45D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zasad </w:t>
      </w:r>
      <w:r w:rsidR="00CD72FE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konkurencji </w:t>
      </w:r>
      <w:r w:rsidR="004B45D4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i udzielania pomocy publicznej </w:t>
      </w:r>
      <w:r w:rsidR="00CD72FE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UE (zwanych łącznie 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„</w:t>
      </w:r>
      <w:r w:rsidR="00CD72FE" w:rsidRPr="00812247">
        <w:rPr>
          <w:rFonts w:ascii="Times New Roman" w:eastAsia="Times New Roman" w:hAnsi="Times New Roman" w:cs="Times New Roman"/>
          <w:spacing w:val="8"/>
          <w:sz w:val="22"/>
          <w:szCs w:val="22"/>
          <w:u w:val="single"/>
          <w:lang w:val="pl-PL"/>
        </w:rPr>
        <w:t>Naruszeniem</w:t>
      </w:r>
      <w:r w:rsidR="00DC0AEB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”).</w:t>
      </w:r>
    </w:p>
    <w:p w14:paraId="2285E97C" w14:textId="77777777" w:rsidR="00A474CF" w:rsidRPr="00812247" w:rsidRDefault="00A474CF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</w:pPr>
    </w:p>
    <w:p w14:paraId="065AFDA3" w14:textId="77777777" w:rsidR="00DA0B59" w:rsidRPr="00812247" w:rsidRDefault="00DA0B59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</w:pPr>
    </w:p>
    <w:p w14:paraId="6BC1038B" w14:textId="77777777" w:rsidR="00A474CF" w:rsidRPr="00812247" w:rsidRDefault="00CD72FE" w:rsidP="00045FF9">
      <w:pPr>
        <w:pStyle w:val="BodyText"/>
        <w:spacing w:before="2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</w:pP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Państwa członkowskie UE</w:t>
      </w:r>
      <w:r w:rsidR="005D696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posiadają uprawnienia do posz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erzania zakresu ochrony zgodnie ze swo</w:t>
      </w:r>
      <w:r w:rsidR="005D696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imi przepisami </w:t>
      </w:r>
      <w:r w:rsidR="00ED1028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prawa </w:t>
      </w:r>
      <w:r w:rsidR="005D696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krajowego dotyczą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cych dziedzin niewymienionych powyżej. Niniejszy Regulamin będzie podlegać aktualizacji, z uwagi na fakt, że różne państwa członkowskie wdrażają Dyrektywę poprzez swoje przepisy krajowe, a ochrona opisywana w niniejszym Regulaminie może mieć zakres szerszy w zależności od lokalizacji podmiotu </w:t>
      </w:r>
      <w:r w:rsidR="00B511D3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Spectrum</w:t>
      </w:r>
      <w:r w:rsidR="00625FE6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Brands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, który Państwa zatrudnia. W przypadku osób odpowiedzialnych za </w:t>
      </w:r>
      <w:r w:rsidR="00ED1028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proces rozpatrywania zgłoszeń</w:t>
      </w:r>
      <w:r w:rsidR="005D696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, procedury każdego po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dmiotu</w:t>
      </w:r>
      <w:r w:rsidR="00B909DC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Spectrum Brands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mogą </w:t>
      </w:r>
      <w:r w:rsidR="00ED1028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różnić się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w zależności od</w:t>
      </w:r>
      <w:r w:rsidR="005D696D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 państwa członk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owskiego, w którym </w:t>
      </w:r>
      <w:r w:rsidR="00ED1028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zlokalizowana jest 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spółka </w:t>
      </w:r>
      <w:r w:rsidR="00B909DC"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>Spectrum Brands</w:t>
      </w:r>
      <w:r w:rsidRPr="00812247"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  <w:t xml:space="preserve">. Mogą występować znaczne różnice pomiędzy wdrażaniem Dyrektywy w różnych państwach członkowskich, a zatem między różnymi podmiotami spółki, w zależności od postanowień niniejszego Regulaminu.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Jeśli jakikolwiek pracownik nie jest pewny, jaka Dyrektyw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lub wymóg ma zastosowanie w konkretnym kraju lub </w:t>
      </w:r>
      <w:r w:rsidR="00ED1028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konkretnej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sytuacji, prosimy o kon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takt z Zespołem ds. Prawnych i Zarządzania Ryzykiem </w:t>
      </w:r>
      <w:r w:rsidR="00575F1C" w:rsidRPr="00812247">
        <w:rPr>
          <w:rFonts w:ascii="Times New Roman" w:hAnsi="Times New Roman" w:cs="Times New Roman"/>
          <w:i/>
          <w:sz w:val="22"/>
          <w:szCs w:val="22"/>
          <w:lang w:val="pl-PL"/>
        </w:rPr>
        <w:t>[ang. Legal and Risk Management Team („</w:t>
      </w:r>
      <w:r w:rsidR="00575F1C" w:rsidRPr="00812247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LRM</w:t>
      </w:r>
      <w:r w:rsidR="00575F1C" w:rsidRPr="00812247">
        <w:rPr>
          <w:rFonts w:ascii="Times New Roman" w:hAnsi="Times New Roman" w:cs="Times New Roman"/>
          <w:i/>
          <w:sz w:val="22"/>
          <w:szCs w:val="22"/>
          <w:lang w:val="pl-PL"/>
        </w:rPr>
        <w:t>”)]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340B0A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66B1E793" w14:textId="77777777" w:rsidR="00895FD3" w:rsidRPr="00812247" w:rsidRDefault="00895FD3" w:rsidP="00045FF9">
      <w:pPr>
        <w:pStyle w:val="BodyText"/>
        <w:spacing w:before="9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520DEAD0" w14:textId="77777777" w:rsidR="00045FF9" w:rsidRPr="00812247" w:rsidRDefault="00575F1C" w:rsidP="00DA0B59">
      <w:pPr>
        <w:pStyle w:val="BodyText"/>
        <w:numPr>
          <w:ilvl w:val="0"/>
          <w:numId w:val="1"/>
        </w:numPr>
        <w:spacing w:before="9"/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b/>
          <w:bCs/>
          <w:sz w:val="22"/>
          <w:szCs w:val="22"/>
          <w:lang w:val="pl-PL"/>
        </w:rPr>
        <w:t>Warunki ochrony zgodnie z postanowieniami niniejszego Regulaminu</w:t>
      </w:r>
    </w:p>
    <w:p w14:paraId="7AF6036D" w14:textId="77777777" w:rsidR="00045FF9" w:rsidRPr="00812247" w:rsidRDefault="00045FF9" w:rsidP="00045FF9">
      <w:pPr>
        <w:pStyle w:val="BodyText"/>
        <w:spacing w:before="9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AEE72F2" w14:textId="77777777" w:rsidR="00045FF9" w:rsidRPr="00812247" w:rsidRDefault="00575F1C" w:rsidP="00B7529F">
      <w:pPr>
        <w:pStyle w:val="BodyText"/>
        <w:spacing w:before="9"/>
        <w:contextualSpacing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Sygnaliści kwalifikują się do ochrony pod warunkiem, że posiadają </w:t>
      </w:r>
      <w:r w:rsidR="00ED1028" w:rsidRPr="00812247">
        <w:rPr>
          <w:rFonts w:ascii="Times New Roman" w:hAnsi="Times New Roman" w:cs="Times New Roman"/>
          <w:sz w:val="22"/>
          <w:szCs w:val="22"/>
          <w:lang w:val="pl-PL"/>
        </w:rPr>
        <w:t>uzasadnione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podstawy, by żywić przekonanie, że posiadane p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rzez nich informacje dotyczące n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aruszenia są prawdziwe w </w:t>
      </w:r>
      <w:r w:rsidR="00ED1028" w:rsidRPr="00812247">
        <w:rPr>
          <w:rFonts w:ascii="Times New Roman" w:hAnsi="Times New Roman" w:cs="Times New Roman"/>
          <w:sz w:val="22"/>
          <w:szCs w:val="22"/>
          <w:lang w:val="pl-PL"/>
        </w:rPr>
        <w:t>trakcie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ich zgłaszania, że mieszczą się w zakresie niniejszego Regulaminu i Dyrektywy, oraz że zgłosili informacje w trybie wewnętrznym zgodnie z postanowieniami niniejszego Regulaminu lub zewnętrznym, </w:t>
      </w:r>
      <w:r w:rsidR="00ED1028" w:rsidRPr="00812247">
        <w:rPr>
          <w:rFonts w:ascii="Times New Roman" w:hAnsi="Times New Roman" w:cs="Times New Roman"/>
          <w:sz w:val="22"/>
          <w:szCs w:val="22"/>
          <w:lang w:val="pl-PL"/>
        </w:rPr>
        <w:t>zgodnie z tym, co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opisano w przepisach państwa członkowskiego UE, w którym zlokalizowany jest zatrudniający ich podmiot </w:t>
      </w:r>
      <w:r w:rsidR="00FE6C84" w:rsidRPr="00812247">
        <w:rPr>
          <w:rFonts w:ascii="Times New Roman" w:hAnsi="Times New Roman" w:cs="Times New Roman"/>
          <w:sz w:val="22"/>
          <w:szCs w:val="22"/>
          <w:lang w:val="pl-PL"/>
        </w:rPr>
        <w:t>Spectrum Brands.</w:t>
      </w:r>
    </w:p>
    <w:p w14:paraId="38BC7B9E" w14:textId="77777777" w:rsidR="00045FF9" w:rsidRPr="00812247" w:rsidRDefault="00045FF9" w:rsidP="00045FF9">
      <w:pPr>
        <w:pStyle w:val="BodyText"/>
        <w:spacing w:before="9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31DF1DBD" w14:textId="77777777" w:rsidR="00045FF9" w:rsidRPr="00812247" w:rsidRDefault="00575F1C" w:rsidP="00045FF9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Procedury zgłaszania w trybie wewnętrznym</w:t>
      </w:r>
    </w:p>
    <w:p w14:paraId="57849E1F" w14:textId="77777777" w:rsidR="00045FF9" w:rsidRPr="00812247" w:rsidRDefault="00045FF9" w:rsidP="00045FF9">
      <w:pPr>
        <w:pStyle w:val="Heading1"/>
        <w:tabs>
          <w:tab w:val="left" w:pos="859"/>
          <w:tab w:val="left" w:pos="860"/>
        </w:tabs>
        <w:ind w:left="0"/>
        <w:contextualSpacing/>
        <w:jc w:val="both"/>
        <w:rPr>
          <w:rFonts w:ascii="Times New Roman" w:hAnsi="Times New Roman" w:cs="Times New Roman"/>
          <w:b w:val="0"/>
          <w:bCs w:val="0"/>
          <w:sz w:val="22"/>
          <w:szCs w:val="22"/>
          <w:lang w:val="pl-PL"/>
        </w:rPr>
      </w:pPr>
    </w:p>
    <w:p w14:paraId="15B2E986" w14:textId="77777777" w:rsidR="00045FF9" w:rsidRPr="00812247" w:rsidRDefault="0007294D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S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>półka S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pectrum Brands 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zapewnia kanał przeznaczony do 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dokonywania zgłoszeń 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w trybie wewnętrznym dla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ów, który ma charakter poufny, </w:t>
      </w:r>
      <w:r w:rsidR="00760823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bezpieczny </w:t>
      </w:r>
      <w:r w:rsidR="00ED1028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i </w:t>
      </w:r>
      <w:r w:rsidR="00760823" w:rsidRPr="00812247">
        <w:rPr>
          <w:rFonts w:ascii="Times New Roman" w:hAnsi="Times New Roman" w:cs="Times New Roman"/>
          <w:sz w:val="22"/>
          <w:szCs w:val="22"/>
          <w:lang w:val="pl-PL"/>
        </w:rPr>
        <w:t>zapewnia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możliwość dokonywania zgłoszeń informacji dotyczących naruszenia pisemnie lub ustnie</w:t>
      </w:r>
      <w:r w:rsidR="00045FF9" w:rsidRPr="00812247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Funkcjonuje całodobowa linia pomocowa dostępna pod numerem </w:t>
      </w:r>
      <w:r w:rsidR="00D17FBD" w:rsidRPr="00812247">
        <w:rPr>
          <w:rFonts w:ascii="Times New Roman" w:hAnsi="Times New Roman" w:cs="Times New Roman"/>
          <w:sz w:val="22"/>
          <w:szCs w:val="22"/>
          <w:lang w:val="pl-PL"/>
        </w:rPr>
        <w:t>1-866-384-4277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oraz strona internetowa:</w:t>
      </w:r>
      <w:r w:rsidR="00D17FB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hyperlink r:id="rId9" w:history="1">
        <w:r w:rsidR="00C662C3" w:rsidRPr="00812247">
          <w:rPr>
            <w:rStyle w:val="Hyperlink"/>
            <w:rFonts w:ascii="Times New Roman" w:hAnsi="Times New Roman" w:cs="Times New Roman"/>
            <w:sz w:val="22"/>
            <w:szCs w:val="22"/>
            <w:lang w:val="pl-PL"/>
          </w:rPr>
          <w:t>https://secure.ethicspoint.com/domain/media/en/gui/7424/index.html</w:t>
        </w:r>
      </w:hyperlink>
      <w:r w:rsidR="00D17FBD" w:rsidRPr="00812247">
        <w:rPr>
          <w:rFonts w:ascii="Times New Roman" w:hAnsi="Times New Roman" w:cs="Times New Roman"/>
          <w:sz w:val="22"/>
          <w:szCs w:val="22"/>
          <w:lang w:val="pl-PL"/>
        </w:rPr>
        <w:t>.</w:t>
      </w:r>
      <w:r w:rsidR="00C662C3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Osoba lub osoby dokonujące przyjęcia zgłoszenia od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y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dokonają potwierdzenia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otrzymania zgłoszenia sygnaliście w ciągu siedmiu </w:t>
      </w:r>
      <w:r w:rsidR="00B1349F" w:rsidRPr="00812247">
        <w:rPr>
          <w:rFonts w:ascii="Times New Roman" w:hAnsi="Times New Roman" w:cs="Times New Roman"/>
          <w:sz w:val="22"/>
          <w:szCs w:val="22"/>
          <w:lang w:val="pl-PL"/>
        </w:rPr>
        <w:t>(</w:t>
      </w:r>
      <w:r w:rsidR="008650DF" w:rsidRPr="00812247">
        <w:rPr>
          <w:rFonts w:ascii="Times New Roman" w:hAnsi="Times New Roman" w:cs="Times New Roman"/>
          <w:sz w:val="22"/>
          <w:szCs w:val="22"/>
          <w:lang w:val="pl-PL"/>
        </w:rPr>
        <w:t>7</w:t>
      </w:r>
      <w:r w:rsidR="00B1349F" w:rsidRPr="00812247">
        <w:rPr>
          <w:rFonts w:ascii="Times New Roman" w:hAnsi="Times New Roman" w:cs="Times New Roman"/>
          <w:sz w:val="22"/>
          <w:szCs w:val="22"/>
          <w:lang w:val="pl-PL"/>
        </w:rPr>
        <w:t>)</w:t>
      </w:r>
      <w:r w:rsidR="008650DF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dni kalendarzowych od otrzymania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pierwotnego</w:t>
      </w:r>
      <w:r w:rsidR="00575F1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zgłoszenia</w:t>
      </w:r>
      <w:r w:rsidR="008650DF" w:rsidRPr="00812247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0BB5807E" w14:textId="77777777" w:rsidR="00FD1805" w:rsidRPr="00812247" w:rsidRDefault="00FD1805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D0F07D6" w14:textId="77777777" w:rsidR="00FD1805" w:rsidRPr="00812247" w:rsidRDefault="00575F1C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Osoba bezstronna lub depart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a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ment w spółce </w:t>
      </w:r>
      <w:r w:rsidR="005537E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Spectrum Brands </w:t>
      </w:r>
      <w:r w:rsidR="00C808EC" w:rsidRPr="00812247">
        <w:rPr>
          <w:rFonts w:ascii="Times New Roman" w:hAnsi="Times New Roman" w:cs="Times New Roman"/>
          <w:sz w:val="22"/>
          <w:szCs w:val="22"/>
          <w:lang w:val="pl-PL"/>
        </w:rPr>
        <w:t>(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„</w:t>
      </w:r>
      <w:r w:rsidR="00A220A3" w:rsidRPr="00812247">
        <w:rPr>
          <w:rFonts w:ascii="Times New Roman" w:hAnsi="Times New Roman" w:cs="Times New Roman"/>
          <w:sz w:val="22"/>
          <w:szCs w:val="22"/>
          <w:u w:val="single"/>
          <w:lang w:val="pl-PL"/>
        </w:rPr>
        <w:t>Prowadzący badanie</w:t>
      </w:r>
      <w:r w:rsidR="00C808EC" w:rsidRPr="00812247">
        <w:rPr>
          <w:rFonts w:ascii="Times New Roman" w:hAnsi="Times New Roman" w:cs="Times New Roman"/>
          <w:sz w:val="22"/>
          <w:szCs w:val="22"/>
          <w:lang w:val="pl-PL"/>
        </w:rPr>
        <w:t>”)</w:t>
      </w:r>
      <w:r w:rsidR="00A220A3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będzie odpowiadał za dalsze działania i zbadanie zgłoszenia, z uwzględnieniem dalszych informacji i za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pewnienia informacji zwrotnej dla</w:t>
      </w:r>
      <w:r w:rsidR="00A220A3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A220A3" w:rsidRPr="00812247">
        <w:rPr>
          <w:rFonts w:ascii="Times New Roman" w:hAnsi="Times New Roman" w:cs="Times New Roman"/>
          <w:sz w:val="22"/>
          <w:szCs w:val="22"/>
          <w:lang w:val="pl-PL"/>
        </w:rPr>
        <w:t>y. Prowadzący badanie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może być tą samą osobą lub pra</w:t>
      </w:r>
      <w:r w:rsidR="00A220A3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cować w tym samym departamencie, do którego złożono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pierwotne </w:t>
      </w:r>
      <w:r w:rsidR="00A220A3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zgłoszenie. </w:t>
      </w:r>
    </w:p>
    <w:p w14:paraId="54AC8112" w14:textId="77777777" w:rsidR="00AB1C0F" w:rsidRPr="00812247" w:rsidRDefault="00AB1C0F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8E071B1" w14:textId="77777777" w:rsidR="00AB1C0F" w:rsidRPr="00812247" w:rsidRDefault="00A220A3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Prowadzący badanie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ma obowiązek kontaktowania się z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ą w rzetelny sposób, 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w celu 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lastRenderedPageBreak/>
        <w:t>po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twierdzenia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otrzymania zgłoszenia, w każdym przypadku nie później niż siedem </w:t>
      </w:r>
      <w:r w:rsidR="00B1349F" w:rsidRPr="00812247">
        <w:rPr>
          <w:rFonts w:ascii="Times New Roman" w:hAnsi="Times New Roman" w:cs="Times New Roman"/>
          <w:sz w:val="22"/>
          <w:szCs w:val="22"/>
          <w:lang w:val="pl-PL"/>
        </w:rPr>
        <w:t>(</w:t>
      </w:r>
      <w:r w:rsidR="009D78A0" w:rsidRPr="00812247">
        <w:rPr>
          <w:rFonts w:ascii="Times New Roman" w:hAnsi="Times New Roman" w:cs="Times New Roman"/>
          <w:sz w:val="22"/>
          <w:szCs w:val="22"/>
          <w:lang w:val="pl-PL"/>
        </w:rPr>
        <w:t>7</w:t>
      </w:r>
      <w:r w:rsidR="00B1349F" w:rsidRPr="00812247">
        <w:rPr>
          <w:rFonts w:ascii="Times New Roman" w:hAnsi="Times New Roman" w:cs="Times New Roman"/>
          <w:sz w:val="22"/>
          <w:szCs w:val="22"/>
          <w:lang w:val="pl-PL"/>
        </w:rPr>
        <w:t>)</w:t>
      </w:r>
      <w:r w:rsidR="009D78A0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dni po otrzymaniu wstępnego zgłoszenia. Prowadzący badanie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dokona wówczas dogłębnego zbadania zastrzeżeń i informacji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zawartych 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w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zgłoszeniu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>. Takie badanie może ob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e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jmować,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oprócz innych 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>działa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ń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, rozmowę z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ą, jak również niezależne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czynności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w celu weryfikacji zastrzeżeń </w:t>
      </w:r>
      <w:r w:rsidR="0017652E" w:rsidRPr="00812247">
        <w:rPr>
          <w:rFonts w:ascii="Times New Roman" w:hAnsi="Times New Roman" w:cs="Times New Roman"/>
          <w:sz w:val="22"/>
          <w:szCs w:val="22"/>
          <w:lang w:val="pl-PL"/>
        </w:rPr>
        <w:t>przedstawionych w zgłoszeniu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. Prowadzący badanie skontaktuje się również z radcą prawnym </w:t>
      </w:r>
      <w:r w:rsidR="00095FC2" w:rsidRPr="00812247">
        <w:rPr>
          <w:rFonts w:ascii="Times New Roman" w:hAnsi="Times New Roman" w:cs="Times New Roman"/>
          <w:sz w:val="22"/>
          <w:szCs w:val="22"/>
          <w:lang w:val="pl-PL"/>
        </w:rPr>
        <w:t>Spectrum Brands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lub wskazaną przez niego osobą, aby 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poinformować ich o 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>złożon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ym zgłoszeniu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o krokach, które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zostały podjęte oraz 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o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>status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ie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dochodzenia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14:paraId="5576918E" w14:textId="77777777" w:rsidR="00BA0885" w:rsidRPr="00812247" w:rsidRDefault="00BA0885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40BAD0F9" w14:textId="77777777" w:rsidR="00045FF9" w:rsidRPr="00812247" w:rsidRDefault="00B1349F" w:rsidP="004B33CA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W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zasadnym czasie, ale nie dłuższym niż trzy (3) miesiące od potwierdzenia 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przyjęcia zgłoszenia 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>przez prowadzącego badanie, prowadzący b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a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>danie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przekaże informacje zwrotne sygnaliście co do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wyników 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dochodzenia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oraz działań, które zostały podjęte lub zostaną podj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ęte w celu naprawienia dowolnej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nieprawidłowości, która została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potwierdzon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a w toku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badani</w:t>
      </w:r>
      <w:r w:rsidR="00995CFA" w:rsidRPr="00812247">
        <w:rPr>
          <w:rFonts w:ascii="Times New Roman" w:hAnsi="Times New Roman" w:cs="Times New Roman"/>
          <w:sz w:val="22"/>
          <w:szCs w:val="22"/>
          <w:lang w:val="pl-PL"/>
        </w:rPr>
        <w:t>a</w:t>
      </w:r>
      <w:r w:rsidR="005C243B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. </w:t>
      </w:r>
    </w:p>
    <w:p w14:paraId="59EFB8DF" w14:textId="77777777" w:rsidR="00471D64" w:rsidRPr="00812247" w:rsidRDefault="00471D64" w:rsidP="004B33CA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5C9429BD" w14:textId="77777777" w:rsidR="00471D64" w:rsidRPr="00812247" w:rsidRDefault="00995CFA" w:rsidP="004B33CA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Z wyjątkiem P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>rowadz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ą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>cego badanie, nie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dopusz</w:t>
      </w:r>
      <w:r w:rsidR="007E5C39" w:rsidRPr="00812247">
        <w:rPr>
          <w:rFonts w:ascii="Times New Roman" w:hAnsi="Times New Roman" w:cs="Times New Roman"/>
          <w:sz w:val="22"/>
          <w:szCs w:val="22"/>
          <w:lang w:val="pl-PL"/>
        </w:rPr>
        <w:t>cz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alne jest</w:t>
      </w:r>
      <w:r w:rsidR="007E5C3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podawanie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informacji</w:t>
      </w:r>
      <w:r w:rsidR="007E5C3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identyfikujących Sygnalistę,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7E5C3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lub które mogą prowadzić do identyfikacji jego tożsamości, 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bez </w:t>
      </w:r>
      <w:r w:rsidR="007E5C3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jego 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wyraźnej pisemnej zgody </w:t>
      </w:r>
      <w:r w:rsidR="007E5C3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lub gdy 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jest to wymagane w celu spełnienia wymogów badania obowiązującego prawa,. </w:t>
      </w:r>
      <w:r w:rsidR="00760823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Tożsamość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760823" w:rsidRPr="00812247">
        <w:rPr>
          <w:rFonts w:ascii="Times New Roman" w:hAnsi="Times New Roman" w:cs="Times New Roman"/>
          <w:sz w:val="22"/>
          <w:szCs w:val="22"/>
          <w:lang w:val="pl-PL"/>
        </w:rPr>
        <w:t>y</w:t>
      </w:r>
      <w:r w:rsidR="009A0BD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może zostać ujawniona tylko wówczas, gdy jest to niezbędne z uwagi na obowiązek prawny nałożony przez prawo UE lub prawo innego państwa członkowskiego, z uwzględnieniem ujawnienia wymaganego w postępowaniu sądowym. </w:t>
      </w:r>
    </w:p>
    <w:p w14:paraId="3B1212A0" w14:textId="77777777" w:rsidR="00045FF9" w:rsidRPr="00812247" w:rsidRDefault="00045FF9" w:rsidP="00045FF9">
      <w:pPr>
        <w:pStyle w:val="BodyText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</w:pPr>
    </w:p>
    <w:p w14:paraId="3F614B3B" w14:textId="77777777" w:rsidR="00045FF9" w:rsidRPr="00812247" w:rsidRDefault="009A0BD1" w:rsidP="00045FF9">
      <w:pPr>
        <w:pStyle w:val="Heading1"/>
        <w:numPr>
          <w:ilvl w:val="0"/>
          <w:numId w:val="1"/>
        </w:numPr>
        <w:tabs>
          <w:tab w:val="left" w:pos="859"/>
          <w:tab w:val="left" w:pos="860"/>
        </w:tabs>
        <w:ind w:left="0" w:firstLine="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Zewnętrzne kanały zgłaszania</w:t>
      </w:r>
    </w:p>
    <w:p w14:paraId="128FFEBD" w14:textId="77777777" w:rsidR="00045FF9" w:rsidRPr="00812247" w:rsidRDefault="00045FF9" w:rsidP="00045FF9">
      <w:pPr>
        <w:pStyle w:val="BodyText"/>
        <w:contextualSpacing/>
        <w:jc w:val="both"/>
        <w:rPr>
          <w:rFonts w:ascii="Times New Roman" w:eastAsia="Times New Roman" w:hAnsi="Times New Roman" w:cs="Times New Roman"/>
          <w:spacing w:val="8"/>
          <w:sz w:val="22"/>
          <w:szCs w:val="22"/>
          <w:lang w:val="pl-PL"/>
        </w:rPr>
      </w:pPr>
    </w:p>
    <w:p w14:paraId="392C4624" w14:textId="77777777" w:rsidR="00045FF9" w:rsidRPr="00812247" w:rsidRDefault="009A0BD1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Państwa członkowskie UE, na mocy dyrektywy, mają obowiązek utworzenia własnych kanałów zgłaszania naruszeń. Sygnaliści mogą zdecydować, że dokonają zgłoszenia </w:t>
      </w:r>
      <w:r w:rsidR="0040287A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z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wykorzyst</w:t>
      </w:r>
      <w:r w:rsidR="0040287A" w:rsidRPr="00812247">
        <w:rPr>
          <w:rFonts w:ascii="Times New Roman" w:hAnsi="Times New Roman" w:cs="Times New Roman"/>
          <w:sz w:val="22"/>
          <w:szCs w:val="22"/>
          <w:lang w:val="pl-PL"/>
        </w:rPr>
        <w:t>aniem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40287A" w:rsidRPr="00812247">
        <w:rPr>
          <w:rFonts w:ascii="Times New Roman" w:hAnsi="Times New Roman" w:cs="Times New Roman"/>
          <w:sz w:val="22"/>
          <w:szCs w:val="22"/>
          <w:lang w:val="pl-PL"/>
        </w:rPr>
        <w:t>tychże zewnętrznych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kanał</w:t>
      </w:r>
      <w:r w:rsidR="0040287A" w:rsidRPr="00812247">
        <w:rPr>
          <w:rFonts w:ascii="Times New Roman" w:hAnsi="Times New Roman" w:cs="Times New Roman"/>
          <w:sz w:val="22"/>
          <w:szCs w:val="22"/>
          <w:lang w:val="pl-PL"/>
        </w:rPr>
        <w:t>ów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dokonywania zgłoszeń. Dostępność, regulaminy i procedury dla takich zewnętrznych kanałów </w:t>
      </w:r>
      <w:r w:rsidR="00097ECD" w:rsidRPr="00812247">
        <w:rPr>
          <w:rFonts w:ascii="Times New Roman" w:hAnsi="Times New Roman" w:cs="Times New Roman"/>
          <w:sz w:val="22"/>
          <w:szCs w:val="22"/>
          <w:lang w:val="pl-PL"/>
        </w:rPr>
        <w:t>zgłaszania będą różnić się w poszczególnych państwach członkowskich UE, w</w:t>
      </w:r>
      <w:r w:rsidR="0069529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których znajduje się siedziba S</w:t>
      </w:r>
      <w:r w:rsidR="00097EC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ygnalisty. </w:t>
      </w:r>
    </w:p>
    <w:p w14:paraId="728BB6BB" w14:textId="77777777" w:rsidR="00026666" w:rsidRPr="00812247" w:rsidRDefault="00026666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4EE1419" w14:textId="77777777" w:rsidR="00026666" w:rsidRPr="00812247" w:rsidRDefault="005D696D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Sygnaliści</w:t>
      </w:r>
      <w:r w:rsidR="00097EC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mogą wprawdzie dokonywać zgłoszeń za pomocą kanałów zgłoszeń wewnętrznych i zewnętrznych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, niemniej s</w:t>
      </w:r>
      <w:r w:rsidR="00097EC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półka Spectrum Brands zachęca do dokonywania zgłoszeń najpierw poprzez wewnętrzne kanały </w:t>
      </w:r>
      <w:r w:rsidR="0040287A" w:rsidRPr="00812247">
        <w:rPr>
          <w:rFonts w:ascii="Times New Roman" w:hAnsi="Times New Roman" w:cs="Times New Roman"/>
          <w:sz w:val="22"/>
          <w:szCs w:val="22"/>
          <w:lang w:val="pl-PL"/>
        </w:rPr>
        <w:t>zgłoszeń</w:t>
      </w:r>
      <w:r w:rsidR="00097EC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, zgodnie z postanowieniami niniejszego Regulaminu. </w:t>
      </w:r>
    </w:p>
    <w:p w14:paraId="6C860023" w14:textId="77777777" w:rsidR="00045FF9" w:rsidRPr="00812247" w:rsidRDefault="00045FF9" w:rsidP="00045FF9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6BC01EB2" w14:textId="77777777" w:rsidR="00BF79DE" w:rsidRPr="00812247" w:rsidRDefault="00097ECD" w:rsidP="00DA0B59">
      <w:pPr>
        <w:pStyle w:val="BodyText"/>
        <w:numPr>
          <w:ilvl w:val="0"/>
          <w:numId w:val="1"/>
        </w:numPr>
        <w:ind w:left="720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b/>
          <w:bCs/>
          <w:sz w:val="22"/>
          <w:szCs w:val="22"/>
          <w:lang w:val="pl-PL"/>
        </w:rPr>
        <w:t>Zakaz stosowania działań odwetowych</w:t>
      </w:r>
    </w:p>
    <w:p w14:paraId="446686BA" w14:textId="77777777" w:rsidR="00764232" w:rsidRPr="00812247" w:rsidRDefault="00764232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2C4B7559" w14:textId="77777777" w:rsidR="00764232" w:rsidRPr="00812247" w:rsidRDefault="00740D77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W żadnych okolicznościach pracownik, akcjonariusz ani 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>żadna osoba pracująca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w imieniu spółki </w:t>
      </w:r>
      <w:r w:rsidR="00512EAE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Spectrum Brands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nie może, w żadnym trybie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>,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prowadzić działań odwetowych względem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y za to, że dokonał zgłoszenia. Obejmuje to, między innymi, następujące działania:</w:t>
      </w:r>
      <w:r w:rsidR="005E2DE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(i)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>zawieszenie, zwolnienie, wydalenie lub działania równorzędne (ii) zdegradowanie na niższe stanowisko lub wstrzymanie awansu</w:t>
      </w:r>
      <w:r w:rsidR="006B74A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(iii) 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przekazanie obowiązków innej osobie, zmianę lokalizacji miejsca pracy, obniżenie wynagrodzenia lub zmianę godzin</w:t>
      </w:r>
      <w:r w:rsidR="006B74AC" w:rsidRPr="00812247">
        <w:rPr>
          <w:rFonts w:ascii="Times New Roman" w:hAnsi="Times New Roman" w:cs="Times New Roman"/>
          <w:sz w:val="22"/>
          <w:szCs w:val="22"/>
          <w:lang w:val="pl-PL"/>
        </w:rPr>
        <w:t>, (iv) w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strzymanie szkolenia</w:t>
      </w:r>
      <w:r w:rsidR="006B74AC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, (v) </w:t>
      </w:r>
      <w:r w:rsidR="00910009" w:rsidRPr="00812247">
        <w:rPr>
          <w:rFonts w:ascii="Times New Roman" w:hAnsi="Times New Roman" w:cs="Times New Roman"/>
          <w:sz w:val="22"/>
          <w:szCs w:val="22"/>
          <w:lang w:val="pl-PL"/>
        </w:rPr>
        <w:t>negat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ywne oceny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pracownicze lub referencje zawodowe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, (vi) nałożenie środków dyscyplinarnych lub kar, w tym kar finansowych wszelkiego rodzaju</w:t>
      </w:r>
      <w:r w:rsidR="0091000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, (vii) 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zastraszanie, nękanie lub ostracyzm 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nałożony na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5D696D" w:rsidRPr="00812247">
        <w:rPr>
          <w:rFonts w:ascii="Times New Roman" w:hAnsi="Times New Roman" w:cs="Times New Roman"/>
          <w:sz w:val="22"/>
          <w:szCs w:val="22"/>
          <w:lang w:val="pl-PL"/>
        </w:rPr>
        <w:t>ę</w:t>
      </w:r>
      <w:r w:rsidR="00466526" w:rsidRPr="00812247">
        <w:rPr>
          <w:rFonts w:ascii="Times New Roman" w:hAnsi="Times New Roman" w:cs="Times New Roman"/>
          <w:sz w:val="22"/>
          <w:szCs w:val="22"/>
          <w:lang w:val="pl-PL"/>
        </w:rPr>
        <w:t>, (viii) d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yskryminacja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y lub nieuczciwe traktowanie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y w stosunku do innych w podobnej sytuacji</w:t>
      </w:r>
      <w:r w:rsidR="00B0627B" w:rsidRPr="00812247">
        <w:rPr>
          <w:rFonts w:ascii="Times New Roman" w:hAnsi="Times New Roman" w:cs="Times New Roman"/>
          <w:sz w:val="22"/>
          <w:szCs w:val="22"/>
          <w:lang w:val="pl-PL"/>
        </w:rPr>
        <w:t>, (ix)</w:t>
      </w:r>
      <w:r w:rsidR="00F02382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nieprzekształcenie umowy na czas określony w umowę na czas nieokreślony w sytuacji, gdy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>a miał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zasadne oczekiwanie stałego zatrudnienia, (x) nieodnowienie lub wcześniejsze zakończenie umowy czasowej, (xi) działanie na szkodę reputacji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y</w:t>
      </w:r>
      <w:r w:rsidR="00CD6326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, 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w mediach społecznościowych lub innych</w:t>
      </w:r>
      <w:r w:rsidR="00CD6326" w:rsidRPr="00812247">
        <w:rPr>
          <w:rFonts w:ascii="Times New Roman" w:hAnsi="Times New Roman" w:cs="Times New Roman"/>
          <w:sz w:val="22"/>
          <w:szCs w:val="22"/>
          <w:lang w:val="pl-PL"/>
        </w:rPr>
        <w:t>, (xii)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wpisanie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y na czarną listę w umowie ogólnobranżowej (oficjalnej lub nieoficjalnej), </w:t>
      </w:r>
      <w:r w:rsidR="00CD6326" w:rsidRPr="00812247">
        <w:rPr>
          <w:rFonts w:ascii="Times New Roman" w:hAnsi="Times New Roman" w:cs="Times New Roman"/>
          <w:sz w:val="22"/>
          <w:szCs w:val="22"/>
          <w:lang w:val="pl-PL"/>
        </w:rPr>
        <w:t>(xiii)</w:t>
      </w:r>
      <w:r w:rsidR="00B96879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wcześniejsze wypowiedzenie lub anulowanie umowy z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>ą lub podmiotem powiązanym</w:t>
      </w:r>
      <w:r w:rsidR="00B96879" w:rsidRPr="00812247">
        <w:rPr>
          <w:rFonts w:ascii="Times New Roman" w:hAnsi="Times New Roman" w:cs="Times New Roman"/>
          <w:sz w:val="22"/>
          <w:szCs w:val="22"/>
          <w:lang w:val="pl-PL"/>
        </w:rPr>
        <w:t>, (xiv)</w:t>
      </w:r>
      <w:r w:rsidR="0073115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anulowanie 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>dowolnych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zezwoleń lub zgód</w:t>
      </w:r>
      <w:r w:rsidR="0073115D" w:rsidRPr="00812247">
        <w:rPr>
          <w:rFonts w:ascii="Times New Roman" w:hAnsi="Times New Roman" w:cs="Times New Roman"/>
          <w:sz w:val="22"/>
          <w:szCs w:val="22"/>
          <w:lang w:val="pl-PL"/>
        </w:rPr>
        <w:t>, (xv)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skierowanie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="00202D1D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y na badania psychiatryczne lub medyczne. </w:t>
      </w:r>
    </w:p>
    <w:p w14:paraId="65E1A0C3" w14:textId="77777777" w:rsidR="00764232" w:rsidRPr="00812247" w:rsidRDefault="00764232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1BE132FB" w14:textId="77777777" w:rsidR="00764232" w:rsidRPr="00812247" w:rsidRDefault="00202D1D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Jeśli ktokolwiek posiadający </w:t>
      </w:r>
      <w:r w:rsidR="0001763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uprawnienia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do podjęcia takich działań przeciwko </w:t>
      </w:r>
      <w:r w:rsidR="0001763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sygnaliście żywi </w:t>
      </w:r>
      <w:r w:rsidR="00017631" w:rsidRPr="00812247">
        <w:rPr>
          <w:rFonts w:ascii="Times New Roman" w:hAnsi="Times New Roman" w:cs="Times New Roman"/>
          <w:sz w:val="22"/>
          <w:szCs w:val="22"/>
          <w:lang w:val="pl-PL"/>
        </w:rPr>
        <w:lastRenderedPageBreak/>
        <w:t>przekonanie, że którekolwiek z tych działań jest właściwe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lub zostałyby podjęte wobec </w:t>
      </w:r>
      <w:r w:rsidR="00654096" w:rsidRPr="00812247">
        <w:rPr>
          <w:rFonts w:ascii="Times New Roman" w:hAnsi="Times New Roman" w:cs="Times New Roman"/>
          <w:sz w:val="22"/>
          <w:szCs w:val="22"/>
          <w:lang w:val="pl-PL"/>
        </w:rPr>
        <w:t>Sygnalist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y, gdyby nie 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>postanowienia niniejszego</w:t>
      </w:r>
      <w:r w:rsidR="00017631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Regulamin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u, 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osoba 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>ma obowiązek niezwłocznie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skontaktować się z radcą prawnym </w:t>
      </w:r>
      <w:r w:rsidR="008B2BC5" w:rsidRPr="00812247">
        <w:rPr>
          <w:rFonts w:ascii="Times New Roman" w:hAnsi="Times New Roman" w:cs="Times New Roman"/>
          <w:sz w:val="22"/>
          <w:szCs w:val="22"/>
          <w:lang w:val="pl-PL"/>
        </w:rPr>
        <w:t>Spectrum Brands</w:t>
      </w:r>
      <w:r w:rsidR="003473B4"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lub wskazaną przez niego</w:t>
      </w:r>
      <w:r w:rsidRPr="00812247">
        <w:rPr>
          <w:rFonts w:ascii="Times New Roman" w:hAnsi="Times New Roman" w:cs="Times New Roman"/>
          <w:sz w:val="22"/>
          <w:szCs w:val="22"/>
          <w:lang w:val="pl-PL"/>
        </w:rPr>
        <w:t xml:space="preserve"> osobą</w:t>
      </w:r>
      <w:r w:rsidR="008B2BC5" w:rsidRPr="00812247">
        <w:rPr>
          <w:rFonts w:ascii="Times New Roman" w:hAnsi="Times New Roman" w:cs="Times New Roman"/>
          <w:sz w:val="22"/>
          <w:szCs w:val="22"/>
          <w:lang w:val="pl-PL"/>
        </w:rPr>
        <w:t>.</w:t>
      </w:r>
    </w:p>
    <w:p w14:paraId="296D8E5E" w14:textId="77777777" w:rsidR="00764232" w:rsidRPr="00812247" w:rsidRDefault="00764232" w:rsidP="00764232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45FF9" w:rsidRPr="00812247" w14:paraId="4BC669CF" w14:textId="77777777" w:rsidTr="003473B4">
        <w:tc>
          <w:tcPr>
            <w:tcW w:w="9360" w:type="dxa"/>
          </w:tcPr>
          <w:p w14:paraId="6AFB750D" w14:textId="77777777" w:rsidR="00045FF9" w:rsidRPr="00812247" w:rsidRDefault="00202D1D" w:rsidP="00202D1D">
            <w:pPr>
              <w:pStyle w:val="BodyText"/>
              <w:spacing w:before="6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Zasady ogólne obsługi zgłoszeń i zatrzymywania danych</w:t>
            </w:r>
          </w:p>
        </w:tc>
      </w:tr>
    </w:tbl>
    <w:p w14:paraId="15D60E3B" w14:textId="77777777" w:rsidR="00045FF9" w:rsidRPr="00812247" w:rsidRDefault="00045FF9" w:rsidP="00045FF9">
      <w:pPr>
        <w:rPr>
          <w:rFonts w:ascii="Times New Roman" w:hAnsi="Times New Roman" w:cs="Times New Roman"/>
          <w:lang w:val="pl-PL"/>
        </w:rPr>
      </w:pPr>
    </w:p>
    <w:p w14:paraId="4FECB3B7" w14:textId="77777777" w:rsidR="00045FF9" w:rsidRPr="00812247" w:rsidRDefault="000F133D" w:rsidP="00045FF9">
      <w:pPr>
        <w:jc w:val="both"/>
        <w:rPr>
          <w:rFonts w:ascii="Times New Roman" w:hAnsi="Times New Roman" w:cs="Times New Roman"/>
          <w:lang w:val="pl-PL"/>
        </w:rPr>
      </w:pPr>
      <w:r w:rsidRPr="00812247">
        <w:rPr>
          <w:rFonts w:ascii="Times New Roman" w:hAnsi="Times New Roman" w:cs="Times New Roman"/>
          <w:lang w:val="pl-PL"/>
        </w:rPr>
        <w:t xml:space="preserve">Wszelkie </w:t>
      </w:r>
      <w:r w:rsidR="003473B4" w:rsidRPr="00812247">
        <w:rPr>
          <w:rFonts w:ascii="Times New Roman" w:hAnsi="Times New Roman" w:cs="Times New Roman"/>
          <w:lang w:val="pl-PL"/>
        </w:rPr>
        <w:t>dane osobowe, które pozwalają na identyfikację</w:t>
      </w:r>
      <w:r w:rsidRPr="00812247">
        <w:rPr>
          <w:rFonts w:ascii="Times New Roman" w:hAnsi="Times New Roman" w:cs="Times New Roman"/>
          <w:lang w:val="pl-PL"/>
        </w:rPr>
        <w:t xml:space="preserve"> </w:t>
      </w:r>
      <w:r w:rsidR="00654096" w:rsidRPr="00812247">
        <w:rPr>
          <w:rFonts w:ascii="Times New Roman" w:hAnsi="Times New Roman" w:cs="Times New Roman"/>
          <w:lang w:val="pl-PL"/>
        </w:rPr>
        <w:t>Sygnalist</w:t>
      </w:r>
      <w:r w:rsidR="003473B4" w:rsidRPr="00812247">
        <w:rPr>
          <w:rFonts w:ascii="Times New Roman" w:hAnsi="Times New Roman" w:cs="Times New Roman"/>
          <w:lang w:val="pl-PL"/>
        </w:rPr>
        <w:t>y muszą</w:t>
      </w:r>
      <w:r w:rsidRPr="00812247">
        <w:rPr>
          <w:rFonts w:ascii="Times New Roman" w:hAnsi="Times New Roman" w:cs="Times New Roman"/>
          <w:lang w:val="pl-PL"/>
        </w:rPr>
        <w:t xml:space="preserve"> być traktowane zgodnie z postanowieniami </w:t>
      </w:r>
      <w:r w:rsidRPr="00812247">
        <w:rPr>
          <w:rFonts w:ascii="Times New Roman" w:hAnsi="Times New Roman" w:cs="Times New Roman"/>
          <w:i/>
          <w:lang w:val="pl-PL"/>
        </w:rPr>
        <w:t xml:space="preserve">Ogólnego rozporządzenia o ochronie danych osobowych 216/679 </w:t>
      </w:r>
      <w:r w:rsidRPr="00812247">
        <w:rPr>
          <w:rFonts w:ascii="Times New Roman" w:hAnsi="Times New Roman" w:cs="Times New Roman"/>
          <w:lang w:val="pl-PL"/>
        </w:rPr>
        <w:t>znanego również jako RODO</w:t>
      </w:r>
      <w:r w:rsidR="003473B4" w:rsidRPr="00812247">
        <w:rPr>
          <w:rFonts w:ascii="Times New Roman" w:hAnsi="Times New Roman" w:cs="Times New Roman"/>
          <w:lang w:val="pl-PL"/>
        </w:rPr>
        <w:t xml:space="preserve"> (GDPR)</w:t>
      </w:r>
      <w:r w:rsidRPr="00812247">
        <w:rPr>
          <w:rFonts w:ascii="Times New Roman" w:hAnsi="Times New Roman" w:cs="Times New Roman"/>
          <w:lang w:val="pl-PL"/>
        </w:rPr>
        <w:t xml:space="preserve">. Dane osobowe, które są </w:t>
      </w:r>
      <w:r w:rsidR="003473B4" w:rsidRPr="00812247">
        <w:rPr>
          <w:rFonts w:ascii="Times New Roman" w:hAnsi="Times New Roman" w:cs="Times New Roman"/>
          <w:lang w:val="pl-PL"/>
        </w:rPr>
        <w:t>całkowicie</w:t>
      </w:r>
      <w:r w:rsidRPr="00812247">
        <w:rPr>
          <w:rFonts w:ascii="Times New Roman" w:hAnsi="Times New Roman" w:cs="Times New Roman"/>
          <w:lang w:val="pl-PL"/>
        </w:rPr>
        <w:t xml:space="preserve"> nieistotne dla raportów z badań nie będą </w:t>
      </w:r>
      <w:r w:rsidR="003473B4" w:rsidRPr="00812247">
        <w:rPr>
          <w:rFonts w:ascii="Times New Roman" w:hAnsi="Times New Roman" w:cs="Times New Roman"/>
          <w:lang w:val="pl-PL"/>
        </w:rPr>
        <w:t>gromadzone</w:t>
      </w:r>
      <w:r w:rsidRPr="00812247">
        <w:rPr>
          <w:rFonts w:ascii="Times New Roman" w:hAnsi="Times New Roman" w:cs="Times New Roman"/>
          <w:lang w:val="pl-PL"/>
        </w:rPr>
        <w:t xml:space="preserve">, a jeśli </w:t>
      </w:r>
      <w:r w:rsidR="003473B4" w:rsidRPr="00812247">
        <w:rPr>
          <w:rFonts w:ascii="Times New Roman" w:hAnsi="Times New Roman" w:cs="Times New Roman"/>
          <w:lang w:val="pl-PL"/>
        </w:rPr>
        <w:t>to nastąpiło</w:t>
      </w:r>
      <w:r w:rsidRPr="00812247">
        <w:rPr>
          <w:rFonts w:ascii="Times New Roman" w:hAnsi="Times New Roman" w:cs="Times New Roman"/>
          <w:lang w:val="pl-PL"/>
        </w:rPr>
        <w:t xml:space="preserve">, </w:t>
      </w:r>
      <w:r w:rsidR="003473B4" w:rsidRPr="00812247">
        <w:rPr>
          <w:rFonts w:ascii="Times New Roman" w:hAnsi="Times New Roman" w:cs="Times New Roman"/>
          <w:lang w:val="pl-PL"/>
        </w:rPr>
        <w:t xml:space="preserve">winny zostać </w:t>
      </w:r>
      <w:r w:rsidRPr="00812247">
        <w:rPr>
          <w:rFonts w:ascii="Times New Roman" w:hAnsi="Times New Roman" w:cs="Times New Roman"/>
          <w:lang w:val="pl-PL"/>
        </w:rPr>
        <w:t xml:space="preserve">usunięte. </w:t>
      </w:r>
    </w:p>
    <w:p w14:paraId="46B75BDB" w14:textId="77777777" w:rsidR="0072233E" w:rsidRPr="00812247" w:rsidRDefault="0072233E" w:rsidP="00045FF9">
      <w:pPr>
        <w:jc w:val="both"/>
        <w:rPr>
          <w:rFonts w:ascii="Times New Roman" w:hAnsi="Times New Roman" w:cs="Times New Roman"/>
          <w:lang w:val="pl-PL"/>
        </w:rPr>
      </w:pPr>
    </w:p>
    <w:p w14:paraId="034BBB60" w14:textId="77777777" w:rsidR="0072233E" w:rsidRPr="00812247" w:rsidRDefault="000F133D" w:rsidP="00045FF9">
      <w:pPr>
        <w:jc w:val="both"/>
        <w:rPr>
          <w:rFonts w:ascii="Times New Roman" w:hAnsi="Times New Roman" w:cs="Times New Roman"/>
          <w:lang w:val="pl-PL"/>
        </w:rPr>
      </w:pPr>
      <w:r w:rsidRPr="00812247">
        <w:rPr>
          <w:rFonts w:ascii="Times New Roman" w:hAnsi="Times New Roman" w:cs="Times New Roman"/>
          <w:lang w:val="pl-PL"/>
        </w:rPr>
        <w:t>Ewidencja każdego otrzymanego zgłoszenia będzie przechowyw</w:t>
      </w:r>
      <w:r w:rsidR="00017631" w:rsidRPr="00812247">
        <w:rPr>
          <w:rFonts w:ascii="Times New Roman" w:hAnsi="Times New Roman" w:cs="Times New Roman"/>
          <w:lang w:val="pl-PL"/>
        </w:rPr>
        <w:t>a</w:t>
      </w:r>
      <w:r w:rsidRPr="00812247">
        <w:rPr>
          <w:rFonts w:ascii="Times New Roman" w:hAnsi="Times New Roman" w:cs="Times New Roman"/>
          <w:lang w:val="pl-PL"/>
        </w:rPr>
        <w:t xml:space="preserve">na w spółce </w:t>
      </w:r>
      <w:r w:rsidR="00F92B55" w:rsidRPr="00812247">
        <w:rPr>
          <w:rFonts w:ascii="Times New Roman" w:hAnsi="Times New Roman" w:cs="Times New Roman"/>
          <w:lang w:val="pl-PL"/>
        </w:rPr>
        <w:t>Spectrum Brands</w:t>
      </w:r>
      <w:r w:rsidRPr="00812247">
        <w:rPr>
          <w:rFonts w:ascii="Times New Roman" w:hAnsi="Times New Roman" w:cs="Times New Roman"/>
          <w:lang w:val="pl-PL"/>
        </w:rPr>
        <w:t xml:space="preserve"> w sposób poufny i bezpieczny.</w:t>
      </w:r>
      <w:r w:rsidR="00A80235" w:rsidRPr="00812247">
        <w:rPr>
          <w:rFonts w:ascii="Times New Roman" w:hAnsi="Times New Roman" w:cs="Times New Roman"/>
          <w:lang w:val="pl-PL"/>
        </w:rPr>
        <w:t xml:space="preserve"> </w:t>
      </w:r>
      <w:r w:rsidRPr="00812247">
        <w:rPr>
          <w:rFonts w:ascii="Times New Roman" w:hAnsi="Times New Roman" w:cs="Times New Roman"/>
          <w:lang w:val="pl-PL"/>
        </w:rPr>
        <w:t>Zgłoszenia, które zasadnie mogą stać się przedmiotem postępowań prawnych</w:t>
      </w:r>
      <w:r w:rsidR="00017631" w:rsidRPr="00812247">
        <w:rPr>
          <w:rFonts w:ascii="Times New Roman" w:hAnsi="Times New Roman" w:cs="Times New Roman"/>
          <w:lang w:val="pl-PL"/>
        </w:rPr>
        <w:t xml:space="preserve">, będą </w:t>
      </w:r>
      <w:r w:rsidR="003473B4" w:rsidRPr="00812247">
        <w:rPr>
          <w:rFonts w:ascii="Times New Roman" w:hAnsi="Times New Roman" w:cs="Times New Roman"/>
          <w:lang w:val="pl-PL"/>
        </w:rPr>
        <w:t xml:space="preserve">przechowywane do momentu </w:t>
      </w:r>
      <w:r w:rsidR="00017631" w:rsidRPr="00812247">
        <w:rPr>
          <w:rFonts w:ascii="Times New Roman" w:hAnsi="Times New Roman" w:cs="Times New Roman"/>
          <w:lang w:val="pl-PL"/>
        </w:rPr>
        <w:t>ostateczn</w:t>
      </w:r>
      <w:r w:rsidR="003473B4" w:rsidRPr="00812247">
        <w:rPr>
          <w:rFonts w:ascii="Times New Roman" w:hAnsi="Times New Roman" w:cs="Times New Roman"/>
          <w:lang w:val="pl-PL"/>
        </w:rPr>
        <w:t>ego</w:t>
      </w:r>
      <w:r w:rsidR="00017631" w:rsidRPr="00812247">
        <w:rPr>
          <w:rFonts w:ascii="Times New Roman" w:hAnsi="Times New Roman" w:cs="Times New Roman"/>
          <w:lang w:val="pl-PL"/>
        </w:rPr>
        <w:t xml:space="preserve"> </w:t>
      </w:r>
      <w:r w:rsidR="003473B4" w:rsidRPr="00812247">
        <w:rPr>
          <w:rFonts w:ascii="Times New Roman" w:hAnsi="Times New Roman" w:cs="Times New Roman"/>
          <w:lang w:val="pl-PL"/>
        </w:rPr>
        <w:t>zakończenia postępowań</w:t>
      </w:r>
      <w:r w:rsidRPr="00812247">
        <w:rPr>
          <w:rFonts w:ascii="Times New Roman" w:hAnsi="Times New Roman" w:cs="Times New Roman"/>
          <w:lang w:val="pl-PL"/>
        </w:rPr>
        <w:t xml:space="preserve"> lub </w:t>
      </w:r>
      <w:r w:rsidR="003473B4" w:rsidRPr="00812247">
        <w:rPr>
          <w:rFonts w:ascii="Times New Roman" w:hAnsi="Times New Roman" w:cs="Times New Roman"/>
          <w:lang w:val="pl-PL"/>
        </w:rPr>
        <w:t xml:space="preserve">gdy </w:t>
      </w:r>
      <w:r w:rsidRPr="00812247">
        <w:rPr>
          <w:rFonts w:ascii="Times New Roman" w:hAnsi="Times New Roman" w:cs="Times New Roman"/>
          <w:lang w:val="pl-PL"/>
        </w:rPr>
        <w:t xml:space="preserve">nastąpi przedawnienie </w:t>
      </w:r>
      <w:r w:rsidR="003473B4" w:rsidRPr="00812247">
        <w:rPr>
          <w:rFonts w:ascii="Times New Roman" w:hAnsi="Times New Roman" w:cs="Times New Roman"/>
          <w:lang w:val="pl-PL"/>
        </w:rPr>
        <w:t>s</w:t>
      </w:r>
      <w:r w:rsidRPr="00812247">
        <w:rPr>
          <w:rFonts w:ascii="Times New Roman" w:hAnsi="Times New Roman" w:cs="Times New Roman"/>
          <w:lang w:val="pl-PL"/>
        </w:rPr>
        <w:t>praw</w:t>
      </w:r>
      <w:r w:rsidR="003473B4" w:rsidRPr="00812247">
        <w:rPr>
          <w:rFonts w:ascii="Times New Roman" w:hAnsi="Times New Roman" w:cs="Times New Roman"/>
          <w:lang w:val="pl-PL"/>
        </w:rPr>
        <w:t>y</w:t>
      </w:r>
      <w:r w:rsidRPr="00812247">
        <w:rPr>
          <w:rFonts w:ascii="Times New Roman" w:hAnsi="Times New Roman" w:cs="Times New Roman"/>
          <w:lang w:val="pl-PL"/>
        </w:rPr>
        <w:t>. Zgłoszenia,</w:t>
      </w:r>
      <w:r w:rsidR="00017631" w:rsidRPr="00812247">
        <w:rPr>
          <w:rFonts w:ascii="Times New Roman" w:hAnsi="Times New Roman" w:cs="Times New Roman"/>
          <w:lang w:val="pl-PL"/>
        </w:rPr>
        <w:t xml:space="preserve"> wraz z odpowiednimi aktami, któ</w:t>
      </w:r>
      <w:r w:rsidRPr="00812247">
        <w:rPr>
          <w:rFonts w:ascii="Times New Roman" w:hAnsi="Times New Roman" w:cs="Times New Roman"/>
          <w:lang w:val="pl-PL"/>
        </w:rPr>
        <w:t xml:space="preserve">re nie stanowią zasadnie przedmiotu dalszych postępowań prawnych, </w:t>
      </w:r>
      <w:r w:rsidR="003473B4" w:rsidRPr="00812247">
        <w:rPr>
          <w:rFonts w:ascii="Times New Roman" w:hAnsi="Times New Roman" w:cs="Times New Roman"/>
          <w:lang w:val="pl-PL"/>
        </w:rPr>
        <w:t>dochodzeń</w:t>
      </w:r>
      <w:r w:rsidRPr="00812247">
        <w:rPr>
          <w:rFonts w:ascii="Times New Roman" w:hAnsi="Times New Roman" w:cs="Times New Roman"/>
          <w:lang w:val="pl-PL"/>
        </w:rPr>
        <w:t xml:space="preserve"> zewnętrznych ani innych </w:t>
      </w:r>
      <w:r w:rsidR="003473B4" w:rsidRPr="00812247">
        <w:rPr>
          <w:rFonts w:ascii="Times New Roman" w:hAnsi="Times New Roman" w:cs="Times New Roman"/>
          <w:lang w:val="pl-PL"/>
        </w:rPr>
        <w:t>czynności sprawozdawczych</w:t>
      </w:r>
      <w:r w:rsidRPr="00812247">
        <w:rPr>
          <w:rFonts w:ascii="Times New Roman" w:hAnsi="Times New Roman" w:cs="Times New Roman"/>
          <w:lang w:val="pl-PL"/>
        </w:rPr>
        <w:t xml:space="preserve">, </w:t>
      </w:r>
      <w:r w:rsidR="00DE3808" w:rsidRPr="00812247">
        <w:rPr>
          <w:rFonts w:ascii="Times New Roman" w:hAnsi="Times New Roman" w:cs="Times New Roman"/>
          <w:lang w:val="pl-PL"/>
        </w:rPr>
        <w:t>w dopuszczalnym zakresie na podstawie w</w:t>
      </w:r>
      <w:r w:rsidR="00017631" w:rsidRPr="00812247">
        <w:rPr>
          <w:rFonts w:ascii="Times New Roman" w:hAnsi="Times New Roman" w:cs="Times New Roman"/>
          <w:lang w:val="pl-PL"/>
        </w:rPr>
        <w:t>y</w:t>
      </w:r>
      <w:r w:rsidR="00DE3808" w:rsidRPr="00812247">
        <w:rPr>
          <w:rFonts w:ascii="Times New Roman" w:hAnsi="Times New Roman" w:cs="Times New Roman"/>
          <w:lang w:val="pl-PL"/>
        </w:rPr>
        <w:t xml:space="preserve">mogów prowadzenia ewidencji spółki oraz obowiązujących </w:t>
      </w:r>
      <w:r w:rsidR="003473B4" w:rsidRPr="00812247">
        <w:rPr>
          <w:rFonts w:ascii="Times New Roman" w:hAnsi="Times New Roman" w:cs="Times New Roman"/>
          <w:lang w:val="pl-PL"/>
        </w:rPr>
        <w:t>wymogów</w:t>
      </w:r>
      <w:r w:rsidR="00DE3808" w:rsidRPr="00812247">
        <w:rPr>
          <w:rFonts w:ascii="Times New Roman" w:hAnsi="Times New Roman" w:cs="Times New Roman"/>
          <w:lang w:val="pl-PL"/>
        </w:rPr>
        <w:t xml:space="preserve"> prawnych, zostaną zniszczone bez zbędnej zwłoki po zakończeniu badania</w:t>
      </w:r>
      <w:r w:rsidR="00D4655F" w:rsidRPr="00812247">
        <w:rPr>
          <w:rFonts w:ascii="Times New Roman" w:hAnsi="Times New Roman" w:cs="Times New Roman"/>
          <w:lang w:val="pl-PL"/>
        </w:rPr>
        <w:t>.</w:t>
      </w:r>
      <w:r w:rsidR="00225F92" w:rsidRPr="00812247">
        <w:rPr>
          <w:rFonts w:ascii="Times New Roman" w:hAnsi="Times New Roman" w:cs="Times New Roman"/>
          <w:lang w:val="pl-PL"/>
        </w:rPr>
        <w:t xml:space="preserve"> </w:t>
      </w:r>
    </w:p>
    <w:p w14:paraId="0B600B0D" w14:textId="77777777" w:rsidR="00045FF9" w:rsidRPr="00812247" w:rsidRDefault="00045FF9" w:rsidP="00045FF9">
      <w:pPr>
        <w:pStyle w:val="BodyText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45FF9" w:rsidRPr="00812247" w14:paraId="2539B939" w14:textId="77777777" w:rsidTr="003473B4">
        <w:tc>
          <w:tcPr>
            <w:tcW w:w="9360" w:type="dxa"/>
          </w:tcPr>
          <w:p w14:paraId="7E94958A" w14:textId="77777777" w:rsidR="00045FF9" w:rsidRPr="00812247" w:rsidRDefault="00DE3808" w:rsidP="00017631">
            <w:pPr>
              <w:pStyle w:val="PolicyAreaHeading"/>
              <w:rPr>
                <w:rFonts w:ascii="Times New Roman" w:hAnsi="Times New Roman" w:cs="Times New Roman"/>
                <w:b w:val="0"/>
                <w:sz w:val="22"/>
                <w:szCs w:val="22"/>
                <w:lang w:val="pl-PL"/>
              </w:rPr>
            </w:pPr>
            <w:bookmarkStart w:id="0" w:name="_Hlk68174472"/>
            <w:r w:rsidRPr="0081224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Zgodność z postanowieniami Regulaminu</w:t>
            </w:r>
            <w:r w:rsidR="00045FF9" w:rsidRPr="0081224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/ D</w:t>
            </w:r>
            <w:r w:rsidR="00017631" w:rsidRPr="0081224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ziałania dyscyplinarne za naruszenia</w:t>
            </w:r>
          </w:p>
        </w:tc>
      </w:tr>
      <w:bookmarkEnd w:id="0"/>
    </w:tbl>
    <w:p w14:paraId="32839234" w14:textId="77777777" w:rsidR="00045FF9" w:rsidRPr="00812247" w:rsidRDefault="00045FF9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7C8CAE34" w14:textId="77777777" w:rsidR="00DE3808" w:rsidRPr="00812247" w:rsidRDefault="00DE3808" w:rsidP="00DE3808">
      <w:pPr>
        <w:jc w:val="both"/>
        <w:rPr>
          <w:rFonts w:ascii="Times New Roman" w:eastAsia="Times New Roman" w:hAnsi="Times New Roman" w:cs="Times New Roman"/>
          <w:bCs/>
          <w:lang w:val="pl-PL"/>
        </w:rPr>
      </w:pPr>
      <w:r w:rsidRPr="00812247">
        <w:rPr>
          <w:rFonts w:ascii="Times New Roman" w:eastAsia="Times New Roman" w:hAnsi="Times New Roman" w:cs="Times New Roman"/>
          <w:bCs/>
          <w:lang w:val="pl-PL"/>
        </w:rPr>
        <w:t xml:space="preserve">Każdy pracownik dokonujący naruszenia postanowień niniejszego Regulaminu może zostać objęty postępowaniem dyscyplinarnym, z możliwością wypowiedzenia </w:t>
      </w:r>
      <w:r w:rsidR="00636588" w:rsidRPr="00812247">
        <w:rPr>
          <w:rFonts w:ascii="Times New Roman" w:eastAsia="Times New Roman" w:hAnsi="Times New Roman" w:cs="Times New Roman"/>
          <w:bCs/>
          <w:lang w:val="pl-PL"/>
        </w:rPr>
        <w:t xml:space="preserve">stosunku </w:t>
      </w:r>
      <w:r w:rsidRPr="00812247">
        <w:rPr>
          <w:rFonts w:ascii="Times New Roman" w:eastAsia="Times New Roman" w:hAnsi="Times New Roman" w:cs="Times New Roman"/>
          <w:bCs/>
          <w:lang w:val="pl-PL"/>
        </w:rPr>
        <w:t>zatrudnienia</w:t>
      </w:r>
      <w:r w:rsidR="00017631" w:rsidRPr="00812247">
        <w:rPr>
          <w:rFonts w:ascii="Times New Roman" w:eastAsia="Times New Roman" w:hAnsi="Times New Roman" w:cs="Times New Roman"/>
          <w:bCs/>
          <w:lang w:val="pl-PL"/>
        </w:rPr>
        <w:t xml:space="preserve"> włącznie</w:t>
      </w:r>
      <w:r w:rsidRPr="00812247">
        <w:rPr>
          <w:rFonts w:ascii="Times New Roman" w:eastAsia="Times New Roman" w:hAnsi="Times New Roman" w:cs="Times New Roman"/>
          <w:bCs/>
          <w:lang w:val="pl-PL"/>
        </w:rPr>
        <w:t xml:space="preserve">. </w:t>
      </w:r>
      <w:r w:rsidR="00636588" w:rsidRPr="00812247">
        <w:rPr>
          <w:rFonts w:ascii="Times New Roman" w:eastAsia="Times New Roman" w:hAnsi="Times New Roman" w:cs="Times New Roman"/>
          <w:bCs/>
          <w:lang w:val="pl-PL"/>
        </w:rPr>
        <w:t>Ponadto</w:t>
      </w:r>
      <w:r w:rsidRPr="00812247">
        <w:rPr>
          <w:rFonts w:ascii="Times New Roman" w:eastAsia="Times New Roman" w:hAnsi="Times New Roman" w:cs="Times New Roman"/>
          <w:bCs/>
          <w:lang w:val="pl-PL"/>
        </w:rPr>
        <w:t xml:space="preserve"> naruszenia postanowie</w:t>
      </w:r>
      <w:r w:rsidR="00636588" w:rsidRPr="00812247">
        <w:rPr>
          <w:rFonts w:ascii="Times New Roman" w:eastAsia="Times New Roman" w:hAnsi="Times New Roman" w:cs="Times New Roman"/>
          <w:bCs/>
          <w:lang w:val="pl-PL"/>
        </w:rPr>
        <w:t xml:space="preserve">ń niniejszego Regulaminu mogą </w:t>
      </w:r>
      <w:r w:rsidRPr="00812247">
        <w:rPr>
          <w:rFonts w:ascii="Times New Roman" w:eastAsia="Times New Roman" w:hAnsi="Times New Roman" w:cs="Times New Roman"/>
          <w:bCs/>
          <w:lang w:val="pl-PL"/>
        </w:rPr>
        <w:t xml:space="preserve">prowadzić do </w:t>
      </w:r>
      <w:r w:rsidR="00636588" w:rsidRPr="00812247">
        <w:rPr>
          <w:rFonts w:ascii="Times New Roman" w:eastAsia="Times New Roman" w:hAnsi="Times New Roman" w:cs="Times New Roman"/>
          <w:bCs/>
          <w:lang w:val="pl-PL"/>
        </w:rPr>
        <w:t xml:space="preserve">poważnych konsekwencji, w tym </w:t>
      </w:r>
      <w:r w:rsidRPr="00812247">
        <w:rPr>
          <w:rFonts w:ascii="Times New Roman" w:eastAsia="Times New Roman" w:hAnsi="Times New Roman" w:cs="Times New Roman"/>
          <w:bCs/>
          <w:lang w:val="pl-PL"/>
        </w:rPr>
        <w:t>postępowania karnego. Każdy pracownik</w:t>
      </w:r>
      <w:r w:rsidR="00636588" w:rsidRPr="00812247">
        <w:rPr>
          <w:rFonts w:ascii="Times New Roman" w:eastAsia="Times New Roman" w:hAnsi="Times New Roman" w:cs="Times New Roman"/>
          <w:bCs/>
          <w:lang w:val="pl-PL"/>
        </w:rPr>
        <w:t xml:space="preserve">, który żywi wątpliwości lub obawy związane </w:t>
      </w:r>
      <w:r w:rsidRPr="00812247">
        <w:rPr>
          <w:rFonts w:ascii="Times New Roman" w:eastAsia="Times New Roman" w:hAnsi="Times New Roman" w:cs="Times New Roman"/>
          <w:bCs/>
          <w:lang w:val="pl-PL"/>
        </w:rPr>
        <w:t xml:space="preserve">z przestrzeganiem postanowień niniejszego </w:t>
      </w:r>
      <w:r w:rsidR="00320D53" w:rsidRPr="00812247">
        <w:rPr>
          <w:rFonts w:ascii="Times New Roman" w:eastAsia="Times New Roman" w:hAnsi="Times New Roman" w:cs="Times New Roman"/>
          <w:bCs/>
          <w:lang w:val="pl-PL"/>
        </w:rPr>
        <w:t>Regulaminu</w:t>
      </w:r>
      <w:r w:rsidRPr="00812247">
        <w:rPr>
          <w:rFonts w:ascii="Times New Roman" w:eastAsia="Times New Roman" w:hAnsi="Times New Roman" w:cs="Times New Roman"/>
          <w:bCs/>
          <w:lang w:val="pl-PL"/>
        </w:rPr>
        <w:t xml:space="preserve"> powinien bezzwłocznie skontaktować się z</w:t>
      </w:r>
      <w:r w:rsidR="00320D53" w:rsidRPr="00812247">
        <w:rPr>
          <w:rFonts w:ascii="Times New Roman" w:eastAsia="Times New Roman" w:hAnsi="Times New Roman" w:cs="Times New Roman"/>
          <w:bCs/>
          <w:lang w:val="pl-PL"/>
        </w:rPr>
        <w:t xml:space="preserve"> </w:t>
      </w:r>
      <w:r w:rsidR="001D705B" w:rsidRPr="00812247">
        <w:rPr>
          <w:rFonts w:ascii="Times New Roman" w:hAnsi="Times New Roman" w:cs="Times New Roman"/>
          <w:lang w:val="pl-PL"/>
        </w:rPr>
        <w:t xml:space="preserve">Zespołem ds. Prawnych i Zarządzania Ryzykiem </w:t>
      </w:r>
      <w:r w:rsidR="001D705B" w:rsidRPr="00812247">
        <w:rPr>
          <w:rFonts w:ascii="Times New Roman" w:hAnsi="Times New Roman" w:cs="Times New Roman"/>
          <w:i/>
          <w:lang w:val="pl-PL"/>
        </w:rPr>
        <w:t>[ang. Legal and Risk Management Team („</w:t>
      </w:r>
      <w:r w:rsidR="001D705B" w:rsidRPr="00812247">
        <w:rPr>
          <w:rFonts w:ascii="Times New Roman" w:hAnsi="Times New Roman" w:cs="Times New Roman"/>
          <w:i/>
          <w:u w:val="single"/>
          <w:lang w:val="pl-PL"/>
        </w:rPr>
        <w:t>LRM</w:t>
      </w:r>
      <w:r w:rsidR="001D705B" w:rsidRPr="00812247">
        <w:rPr>
          <w:rFonts w:ascii="Times New Roman" w:hAnsi="Times New Roman" w:cs="Times New Roman"/>
          <w:i/>
          <w:lang w:val="pl-PL"/>
        </w:rPr>
        <w:t>”)]</w:t>
      </w:r>
      <w:r w:rsidRPr="00812247">
        <w:rPr>
          <w:rFonts w:ascii="Times New Roman" w:eastAsia="Times New Roman" w:hAnsi="Times New Roman" w:cs="Times New Roman"/>
          <w:bCs/>
          <w:lang w:val="pl-PL"/>
        </w:rPr>
        <w:t>, przed po</w:t>
      </w:r>
      <w:r w:rsidR="00636588" w:rsidRPr="00812247">
        <w:rPr>
          <w:rFonts w:ascii="Times New Roman" w:eastAsia="Times New Roman" w:hAnsi="Times New Roman" w:cs="Times New Roman"/>
          <w:bCs/>
          <w:lang w:val="pl-PL"/>
        </w:rPr>
        <w:t>d</w:t>
      </w:r>
      <w:r w:rsidRPr="00812247">
        <w:rPr>
          <w:rFonts w:ascii="Times New Roman" w:eastAsia="Times New Roman" w:hAnsi="Times New Roman" w:cs="Times New Roman"/>
          <w:bCs/>
          <w:lang w:val="pl-PL"/>
        </w:rPr>
        <w:t>jęciem jakichkolwiek</w:t>
      </w:r>
      <w:r w:rsidR="00320D53" w:rsidRPr="00812247">
        <w:rPr>
          <w:rFonts w:ascii="Times New Roman" w:eastAsia="Times New Roman" w:hAnsi="Times New Roman" w:cs="Times New Roman"/>
          <w:bCs/>
          <w:lang w:val="pl-PL"/>
        </w:rPr>
        <w:t xml:space="preserve"> dalszych działań. </w:t>
      </w:r>
      <w:r w:rsidR="00017631" w:rsidRPr="00812247">
        <w:rPr>
          <w:rFonts w:ascii="Times New Roman" w:eastAsia="Times New Roman" w:hAnsi="Times New Roman" w:cs="Times New Roman"/>
          <w:bCs/>
          <w:lang w:val="pl-PL"/>
        </w:rPr>
        <w:t xml:space="preserve">Zespół </w:t>
      </w:r>
      <w:r w:rsidR="001D705B" w:rsidRPr="00812247">
        <w:rPr>
          <w:rFonts w:ascii="Times New Roman" w:hAnsi="Times New Roman" w:cs="Times New Roman"/>
          <w:lang w:val="pl-PL"/>
        </w:rPr>
        <w:t xml:space="preserve">ds. Prawnych i Zarządzania Ryzykiem </w:t>
      </w:r>
      <w:r w:rsidR="001D705B" w:rsidRPr="00812247">
        <w:rPr>
          <w:rFonts w:ascii="Times New Roman" w:hAnsi="Times New Roman" w:cs="Times New Roman"/>
          <w:i/>
          <w:lang w:val="pl-PL"/>
        </w:rPr>
        <w:t>[ang. Legal and Risk Management Team („</w:t>
      </w:r>
      <w:r w:rsidR="001D705B" w:rsidRPr="00812247">
        <w:rPr>
          <w:rFonts w:ascii="Times New Roman" w:hAnsi="Times New Roman" w:cs="Times New Roman"/>
          <w:i/>
          <w:u w:val="single"/>
          <w:lang w:val="pl-PL"/>
        </w:rPr>
        <w:t>LRM</w:t>
      </w:r>
      <w:r w:rsidR="001D705B" w:rsidRPr="00812247">
        <w:rPr>
          <w:rFonts w:ascii="Times New Roman" w:hAnsi="Times New Roman" w:cs="Times New Roman"/>
          <w:i/>
          <w:lang w:val="pl-PL"/>
        </w:rPr>
        <w:t>”)]</w:t>
      </w:r>
      <w:r w:rsidR="00320D53" w:rsidRPr="00812247">
        <w:rPr>
          <w:rFonts w:ascii="Times New Roman" w:eastAsia="Times New Roman" w:hAnsi="Times New Roman" w:cs="Times New Roman"/>
          <w:bCs/>
          <w:lang w:val="pl-PL"/>
        </w:rPr>
        <w:t xml:space="preserve"> </w:t>
      </w:r>
      <w:r w:rsidRPr="00812247">
        <w:rPr>
          <w:rFonts w:ascii="Times New Roman" w:eastAsia="Times New Roman" w:hAnsi="Times New Roman" w:cs="Times New Roman"/>
          <w:bCs/>
          <w:lang w:val="pl-PL"/>
        </w:rPr>
        <w:t xml:space="preserve">dokona oceny sytuacji i podejmie decyzję, jakich działań naprawczych potrzeba, o ile takie występują. </w:t>
      </w:r>
    </w:p>
    <w:p w14:paraId="3C03EE83" w14:textId="77777777" w:rsidR="00045FF9" w:rsidRPr="00812247" w:rsidRDefault="00045FF9" w:rsidP="00045FF9">
      <w:pPr>
        <w:pStyle w:val="BodyText"/>
        <w:spacing w:before="1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7DE1E789" w14:textId="77777777" w:rsidR="00045FF9" w:rsidRPr="00812247" w:rsidRDefault="00320D53" w:rsidP="00045FF9">
      <w:pPr>
        <w:jc w:val="both"/>
        <w:rPr>
          <w:rFonts w:ascii="Times New Roman" w:hAnsi="Times New Roman" w:cs="Times New Roman"/>
          <w:i/>
          <w:lang w:val="pl-PL"/>
        </w:rPr>
      </w:pPr>
      <w:r w:rsidRPr="00812247">
        <w:rPr>
          <w:rFonts w:ascii="Times New Roman" w:hAnsi="Times New Roman" w:cs="Times New Roman"/>
          <w:lang w:val="pl-PL"/>
        </w:rPr>
        <w:t>Odstępstwa od niniejszego Regulaminu nie będą dopuszcza</w:t>
      </w:r>
      <w:r w:rsidR="00636588" w:rsidRPr="00812247">
        <w:rPr>
          <w:rFonts w:ascii="Times New Roman" w:hAnsi="Times New Roman" w:cs="Times New Roman"/>
          <w:lang w:val="pl-PL"/>
        </w:rPr>
        <w:t>l</w:t>
      </w:r>
      <w:r w:rsidRPr="00812247">
        <w:rPr>
          <w:rFonts w:ascii="Times New Roman" w:hAnsi="Times New Roman" w:cs="Times New Roman"/>
          <w:lang w:val="pl-PL"/>
        </w:rPr>
        <w:t xml:space="preserve">ne bez wyraźniej i wcześniejszej pisemnej zgody radcy prawnego </w:t>
      </w:r>
      <w:bookmarkStart w:id="1" w:name="_Hlk96700489"/>
      <w:r w:rsidR="00045FF9" w:rsidRPr="00812247">
        <w:rPr>
          <w:rFonts w:ascii="Times New Roman" w:hAnsi="Times New Roman" w:cs="Times New Roman"/>
          <w:lang w:val="pl-PL"/>
        </w:rPr>
        <w:t>Spectrum Brands</w:t>
      </w:r>
      <w:r w:rsidRPr="00812247">
        <w:rPr>
          <w:rFonts w:ascii="Times New Roman" w:hAnsi="Times New Roman" w:cs="Times New Roman"/>
          <w:lang w:val="pl-PL"/>
        </w:rPr>
        <w:t xml:space="preserve"> lub osoby przez niego wskazanej</w:t>
      </w:r>
      <w:bookmarkEnd w:id="1"/>
      <w:r w:rsidR="00045FF9" w:rsidRPr="00812247">
        <w:rPr>
          <w:rFonts w:ascii="Times New Roman" w:hAnsi="Times New Roman" w:cs="Times New Roman"/>
          <w:lang w:val="pl-PL"/>
        </w:rPr>
        <w:t xml:space="preserve">. </w:t>
      </w:r>
    </w:p>
    <w:p w14:paraId="5E7C6BB4" w14:textId="77777777" w:rsidR="00045FF9" w:rsidRPr="00812247" w:rsidRDefault="00045FF9" w:rsidP="00045FF9">
      <w:pPr>
        <w:pStyle w:val="BodyText"/>
        <w:spacing w:before="1"/>
        <w:contextualSpacing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14:paraId="663CB8D2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45FF9" w:rsidRPr="00812247" w14:paraId="744B7293" w14:textId="77777777" w:rsidTr="003473B4">
        <w:tc>
          <w:tcPr>
            <w:tcW w:w="9360" w:type="dxa"/>
          </w:tcPr>
          <w:p w14:paraId="428B47BA" w14:textId="77777777" w:rsidR="00045FF9" w:rsidRPr="00812247" w:rsidRDefault="00320D53" w:rsidP="003473B4">
            <w:pPr>
              <w:pStyle w:val="BodyText"/>
              <w:contextualSpacing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l-PL"/>
              </w:rPr>
              <w:t>Dane teleadresowe</w:t>
            </w:r>
          </w:p>
        </w:tc>
      </w:tr>
    </w:tbl>
    <w:p w14:paraId="0D776099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sz w:val="22"/>
          <w:szCs w:val="22"/>
          <w:lang w:val="pl-PL"/>
        </w:rPr>
      </w:pPr>
    </w:p>
    <w:p w14:paraId="37C19657" w14:textId="77777777" w:rsidR="00045FF9" w:rsidRPr="00812247" w:rsidRDefault="00320D53" w:rsidP="00045FF9">
      <w:pPr>
        <w:pStyle w:val="Heading1"/>
        <w:spacing w:before="42" w:after="11"/>
        <w:ind w:left="0"/>
        <w:contextualSpacing/>
        <w:rPr>
          <w:rFonts w:ascii="Times New Roman" w:hAnsi="Times New Roman" w:cs="Times New Roman"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sz w:val="22"/>
          <w:szCs w:val="22"/>
          <w:lang w:val="pl-PL"/>
        </w:rPr>
        <w:t>Dane teleadresowe</w:t>
      </w:r>
    </w:p>
    <w:p w14:paraId="18B14965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bCs/>
          <w:sz w:val="22"/>
          <w:szCs w:val="22"/>
          <w:lang w:val="pl-PL"/>
        </w:rPr>
        <w:t>Spectrum Brands, Inc.</w:t>
      </w:r>
    </w:p>
    <w:p w14:paraId="64596D99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bCs/>
          <w:sz w:val="22"/>
          <w:szCs w:val="22"/>
          <w:lang w:val="pl-PL"/>
        </w:rPr>
        <w:t>Attn: General Counsel</w:t>
      </w:r>
    </w:p>
    <w:p w14:paraId="55CE727A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bCs/>
          <w:sz w:val="22"/>
          <w:szCs w:val="22"/>
          <w:lang w:val="pl-PL"/>
        </w:rPr>
        <w:t>3001 Deming Way</w:t>
      </w:r>
    </w:p>
    <w:p w14:paraId="6C0AA1BC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bCs/>
          <w:sz w:val="22"/>
          <w:szCs w:val="22"/>
          <w:lang w:val="pl-PL"/>
        </w:rPr>
        <w:t>Middleton, WI 53562</w:t>
      </w:r>
    </w:p>
    <w:p w14:paraId="6EEBAD51" w14:textId="77777777" w:rsidR="00045FF9" w:rsidRPr="00812247" w:rsidRDefault="00045FF9" w:rsidP="00045FF9">
      <w:pPr>
        <w:pStyle w:val="BodyText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45FF9" w:rsidRPr="00812247" w14:paraId="578CFA9D" w14:textId="77777777" w:rsidTr="003473B4">
        <w:tc>
          <w:tcPr>
            <w:tcW w:w="9360" w:type="dxa"/>
          </w:tcPr>
          <w:p w14:paraId="6264FEB9" w14:textId="77777777" w:rsidR="00045FF9" w:rsidRPr="00812247" w:rsidRDefault="00320D53" w:rsidP="00320D53">
            <w:pPr>
              <w:pStyle w:val="BodyText"/>
              <w:spacing w:before="4"/>
              <w:contextualSpacing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Powiązane informacje</w:t>
            </w:r>
          </w:p>
        </w:tc>
      </w:tr>
    </w:tbl>
    <w:p w14:paraId="56773918" w14:textId="77777777" w:rsidR="00045FF9" w:rsidRPr="00812247" w:rsidRDefault="00045FF9" w:rsidP="00045FF9">
      <w:pPr>
        <w:spacing w:before="226"/>
        <w:contextualSpacing/>
        <w:rPr>
          <w:rFonts w:ascii="Times New Roman" w:hAnsi="Times New Roman" w:cs="Times New Roman"/>
          <w:bCs/>
          <w:w w:val="105"/>
          <w:lang w:val="pl-PL"/>
        </w:rPr>
      </w:pPr>
    </w:p>
    <w:p w14:paraId="36D62250" w14:textId="77777777" w:rsidR="00045FF9" w:rsidRPr="00812247" w:rsidRDefault="00320D53" w:rsidP="00045FF9">
      <w:pPr>
        <w:spacing w:before="226"/>
        <w:contextualSpacing/>
        <w:rPr>
          <w:rFonts w:ascii="Times New Roman" w:hAnsi="Times New Roman" w:cs="Times New Roman"/>
          <w:b/>
          <w:lang w:val="pl-PL"/>
        </w:rPr>
      </w:pPr>
      <w:r w:rsidRPr="00812247">
        <w:rPr>
          <w:rFonts w:ascii="Times New Roman" w:hAnsi="Times New Roman" w:cs="Times New Roman"/>
          <w:b/>
          <w:w w:val="105"/>
          <w:lang w:val="pl-PL"/>
        </w:rPr>
        <w:t xml:space="preserve">Dokumenty Spectrum </w:t>
      </w:r>
      <w:r w:rsidR="00045FF9" w:rsidRPr="00812247">
        <w:rPr>
          <w:rFonts w:ascii="Times New Roman" w:hAnsi="Times New Roman" w:cs="Times New Roman"/>
          <w:b/>
          <w:w w:val="105"/>
          <w:lang w:val="pl-PL"/>
        </w:rPr>
        <w:t>Brands:</w:t>
      </w:r>
    </w:p>
    <w:p w14:paraId="4FEF33AC" w14:textId="77777777" w:rsidR="00045FF9" w:rsidRPr="00812247" w:rsidRDefault="00320D53" w:rsidP="00045FF9">
      <w:pPr>
        <w:pStyle w:val="PolicyInfotext"/>
        <w:rPr>
          <w:rFonts w:ascii="Times New Roman" w:hAnsi="Times New Roman"/>
          <w:sz w:val="24"/>
          <w:szCs w:val="24"/>
          <w:lang w:val="pl-PL"/>
        </w:rPr>
      </w:pPr>
      <w:r w:rsidRPr="00812247">
        <w:rPr>
          <w:rFonts w:ascii="Times New Roman" w:hAnsi="Times New Roman"/>
          <w:sz w:val="24"/>
          <w:szCs w:val="24"/>
          <w:lang w:val="pl-PL"/>
        </w:rPr>
        <w:t>Kodeks postępowania i etyki w biznesie</w:t>
      </w:r>
      <w:r w:rsidR="00045FF9" w:rsidRPr="00812247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269E3ACE" w14:textId="77777777" w:rsidR="00045FF9" w:rsidRPr="00812247" w:rsidRDefault="00320D53" w:rsidP="00045FF9">
      <w:pPr>
        <w:pStyle w:val="PolicyInfotext"/>
        <w:rPr>
          <w:rFonts w:ascii="Times New Roman" w:hAnsi="Times New Roman"/>
          <w:sz w:val="24"/>
          <w:szCs w:val="24"/>
          <w:lang w:val="pl-PL"/>
        </w:rPr>
      </w:pPr>
      <w:r w:rsidRPr="00812247">
        <w:rPr>
          <w:rFonts w:ascii="Times New Roman" w:hAnsi="Times New Roman"/>
          <w:sz w:val="24"/>
          <w:szCs w:val="24"/>
          <w:lang w:val="pl-PL"/>
        </w:rPr>
        <w:t>Kodeks postępowania dostawcy</w:t>
      </w:r>
      <w:r w:rsidR="00045FF9" w:rsidRPr="00812247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14:paraId="1F42CB34" w14:textId="77777777" w:rsidR="00320D53" w:rsidRPr="00812247" w:rsidRDefault="00320D53" w:rsidP="00320D53">
      <w:pPr>
        <w:tabs>
          <w:tab w:val="right" w:pos="9270"/>
        </w:tabs>
        <w:spacing w:before="80"/>
        <w:rPr>
          <w:rFonts w:ascii="Times New Roman" w:hAnsi="Times New Roman" w:cs="Times New Roman"/>
          <w:b/>
          <w:bCs/>
          <w:lang w:val="pl-PL"/>
        </w:rPr>
      </w:pPr>
      <w:r w:rsidRPr="00812247">
        <w:rPr>
          <w:rFonts w:ascii="Times New Roman" w:hAnsi="Times New Roman" w:cs="Times New Roman"/>
          <w:b/>
          <w:bCs/>
          <w:lang w:val="pl-PL"/>
        </w:rPr>
        <w:t>Inne dokumenty:</w:t>
      </w:r>
    </w:p>
    <w:p w14:paraId="607A3F9D" w14:textId="77777777" w:rsidR="00320D53" w:rsidRPr="00812247" w:rsidRDefault="00320D53" w:rsidP="00320D53">
      <w:pPr>
        <w:ind w:left="180"/>
        <w:rPr>
          <w:rFonts w:ascii="Times New Roman" w:hAnsi="Times New Roman" w:cs="Times New Roman"/>
          <w:lang w:val="pl-PL"/>
        </w:rPr>
      </w:pPr>
      <w:r w:rsidRPr="00812247">
        <w:rPr>
          <w:rFonts w:ascii="Times New Roman" w:hAnsi="Times New Roman" w:cs="Times New Roman"/>
          <w:lang w:val="pl-PL"/>
        </w:rPr>
        <w:t>Brak</w:t>
      </w:r>
    </w:p>
    <w:p w14:paraId="4CE74CF1" w14:textId="77777777" w:rsidR="00320D53" w:rsidRPr="00812247" w:rsidRDefault="00320D53" w:rsidP="00320D53">
      <w:pPr>
        <w:tabs>
          <w:tab w:val="right" w:pos="9270"/>
        </w:tabs>
        <w:spacing w:before="80"/>
        <w:rPr>
          <w:rFonts w:ascii="Times New Roman" w:hAnsi="Times New Roman" w:cs="Times New Roman"/>
          <w:b/>
          <w:bCs/>
          <w:lang w:val="pl-PL"/>
        </w:rPr>
      </w:pPr>
      <w:r w:rsidRPr="00812247">
        <w:rPr>
          <w:rFonts w:ascii="Times New Roman" w:hAnsi="Times New Roman" w:cs="Times New Roman"/>
          <w:b/>
          <w:bCs/>
          <w:lang w:val="pl-PL"/>
        </w:rPr>
        <w:lastRenderedPageBreak/>
        <w:t>Powiązane linki:</w:t>
      </w:r>
    </w:p>
    <w:p w14:paraId="607F8A66" w14:textId="77777777" w:rsidR="00320D53" w:rsidRPr="00812247" w:rsidRDefault="00320D53" w:rsidP="00320D53">
      <w:pPr>
        <w:tabs>
          <w:tab w:val="right" w:pos="9270"/>
        </w:tabs>
        <w:ind w:left="180"/>
        <w:rPr>
          <w:rFonts w:ascii="Times New Roman" w:hAnsi="Times New Roman" w:cs="Times New Roman"/>
          <w:bCs/>
          <w:lang w:val="pl-PL"/>
        </w:rPr>
      </w:pPr>
      <w:r w:rsidRPr="00812247">
        <w:rPr>
          <w:rFonts w:ascii="Times New Roman" w:hAnsi="Times New Roman" w:cs="Times New Roman"/>
          <w:bCs/>
          <w:lang w:val="pl-PL"/>
        </w:rPr>
        <w:t>Brak</w:t>
      </w:r>
    </w:p>
    <w:p w14:paraId="17ED4486" w14:textId="77777777" w:rsidR="00045FF9" w:rsidRPr="00812247" w:rsidRDefault="00045FF9" w:rsidP="00045FF9">
      <w:pPr>
        <w:spacing w:before="13"/>
        <w:contextualSpacing/>
        <w:rPr>
          <w:rFonts w:ascii="Times New Roman" w:hAnsi="Times New Roman" w:cs="Times New Roman"/>
          <w:w w:val="110"/>
          <w:lang w:val="pl-PL"/>
        </w:rPr>
      </w:pPr>
    </w:p>
    <w:p w14:paraId="046A7784" w14:textId="77777777" w:rsidR="00045FF9" w:rsidRPr="00812247" w:rsidRDefault="00045FF9" w:rsidP="00045FF9">
      <w:pPr>
        <w:spacing w:before="13"/>
        <w:contextualSpacing/>
        <w:rPr>
          <w:rFonts w:ascii="Times New Roman" w:hAnsi="Times New Roman" w:cs="Times New Roman"/>
          <w:w w:val="110"/>
          <w:lang w:val="pl-PL"/>
        </w:rPr>
      </w:pPr>
    </w:p>
    <w:tbl>
      <w:tblPr>
        <w:tblStyle w:val="TableGrid"/>
        <w:tblW w:w="9360" w:type="dxa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45FF9" w:rsidRPr="00812247" w14:paraId="1FE3EB10" w14:textId="77777777" w:rsidTr="003473B4">
        <w:tc>
          <w:tcPr>
            <w:tcW w:w="9360" w:type="dxa"/>
          </w:tcPr>
          <w:p w14:paraId="0377A43A" w14:textId="77777777" w:rsidR="00045FF9" w:rsidRPr="00812247" w:rsidRDefault="00320D53" w:rsidP="00320D53">
            <w:pPr>
              <w:spacing w:before="13"/>
              <w:contextualSpacing/>
              <w:rPr>
                <w:rFonts w:ascii="Times New Roman" w:hAnsi="Times New Roman" w:cs="Times New Roman"/>
                <w:b/>
                <w:bCs/>
                <w:w w:val="110"/>
                <w:lang w:val="pl-PL"/>
              </w:rPr>
            </w:pPr>
            <w:r w:rsidRPr="00812247">
              <w:rPr>
                <w:rFonts w:ascii="Times New Roman" w:hAnsi="Times New Roman" w:cs="Times New Roman"/>
                <w:b/>
                <w:bCs/>
                <w:w w:val="110"/>
                <w:lang w:val="pl-PL"/>
              </w:rPr>
              <w:t>Historia weryfikacji</w:t>
            </w:r>
          </w:p>
        </w:tc>
      </w:tr>
    </w:tbl>
    <w:p w14:paraId="05BD7BD0" w14:textId="77777777" w:rsidR="00045FF9" w:rsidRPr="00812247" w:rsidRDefault="00045FF9" w:rsidP="00045FF9">
      <w:pPr>
        <w:spacing w:before="13"/>
        <w:contextualSpacing/>
        <w:rPr>
          <w:rFonts w:ascii="Times New Roman" w:hAnsi="Times New Roman" w:cs="Times New Roman"/>
          <w:w w:val="105"/>
          <w:lang w:val="pl-PL"/>
        </w:rPr>
      </w:pPr>
    </w:p>
    <w:p w14:paraId="51439A7A" w14:textId="77777777" w:rsidR="00045FF9" w:rsidRPr="00812247" w:rsidRDefault="00320D53" w:rsidP="00045FF9">
      <w:pPr>
        <w:tabs>
          <w:tab w:val="left" w:pos="2332"/>
        </w:tabs>
        <w:spacing w:before="103"/>
        <w:contextualSpacing/>
        <w:rPr>
          <w:rFonts w:ascii="Times New Roman" w:hAnsi="Times New Roman" w:cs="Times New Roman"/>
          <w:w w:val="105"/>
          <w:lang w:val="pl-PL"/>
        </w:rPr>
      </w:pPr>
      <w:r w:rsidRPr="00812247">
        <w:rPr>
          <w:rFonts w:ascii="Times New Roman" w:hAnsi="Times New Roman" w:cs="Times New Roman"/>
          <w:b/>
          <w:w w:val="105"/>
          <w:lang w:val="pl-PL"/>
        </w:rPr>
        <w:t>sierpień</w:t>
      </w:r>
      <w:r w:rsidR="00061B30" w:rsidRPr="00812247">
        <w:rPr>
          <w:rFonts w:ascii="Times New Roman" w:hAnsi="Times New Roman" w:cs="Times New Roman"/>
          <w:b/>
          <w:w w:val="105"/>
          <w:lang w:val="pl-PL"/>
        </w:rPr>
        <w:t xml:space="preserve"> 2022</w:t>
      </w:r>
      <w:r w:rsidRPr="00812247">
        <w:rPr>
          <w:rFonts w:ascii="Times New Roman" w:hAnsi="Times New Roman" w:cs="Times New Roman"/>
          <w:w w:val="105"/>
          <w:lang w:val="pl-PL"/>
        </w:rPr>
        <w:tab/>
        <w:t>Utworzenie regulaminu do weryfikacji i zatwierdzeń</w:t>
      </w:r>
      <w:r w:rsidR="00045FF9" w:rsidRPr="00812247">
        <w:rPr>
          <w:rFonts w:ascii="Times New Roman" w:hAnsi="Times New Roman" w:cs="Times New Roman"/>
          <w:w w:val="105"/>
          <w:lang w:val="pl-PL"/>
        </w:rPr>
        <w:t>.</w:t>
      </w:r>
    </w:p>
    <w:p w14:paraId="298A11D7" w14:textId="77777777" w:rsidR="00045FF9" w:rsidRPr="00812247" w:rsidRDefault="00045FF9" w:rsidP="00045FF9">
      <w:pPr>
        <w:pStyle w:val="BodyText"/>
        <w:tabs>
          <w:tab w:val="left" w:pos="2340"/>
        </w:tabs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60"/>
      </w:tblGrid>
      <w:tr w:rsidR="00045FF9" w:rsidRPr="00812247" w14:paraId="292CF21E" w14:textId="77777777" w:rsidTr="003473B4">
        <w:tc>
          <w:tcPr>
            <w:tcW w:w="9360" w:type="dxa"/>
          </w:tcPr>
          <w:p w14:paraId="30DB1E94" w14:textId="77777777" w:rsidR="00773808" w:rsidRPr="00812247" w:rsidRDefault="00773808" w:rsidP="00773808">
            <w:pPr>
              <w:pStyle w:val="PolicyAreaHeading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812247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Odpowiedzialny członek kierownictwa</w:t>
            </w:r>
          </w:p>
          <w:p w14:paraId="6130D374" w14:textId="77777777" w:rsidR="00045FF9" w:rsidRPr="00812247" w:rsidRDefault="00045FF9" w:rsidP="00773808">
            <w:pPr>
              <w:rPr>
                <w:rFonts w:ascii="Times New Roman" w:hAnsi="Times New Roman" w:cs="Times New Roman"/>
                <w:bCs/>
                <w:lang w:val="pl-PL"/>
              </w:rPr>
            </w:pPr>
          </w:p>
        </w:tc>
      </w:tr>
    </w:tbl>
    <w:p w14:paraId="3C512EBB" w14:textId="77777777" w:rsidR="00045FF9" w:rsidRPr="00812247" w:rsidRDefault="00045FF9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117AA0DD" w14:textId="77777777" w:rsidR="00045FF9" w:rsidRPr="00812247" w:rsidRDefault="00045FF9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287A0B77" w14:textId="22FC270C" w:rsidR="00045FF9" w:rsidRPr="00812247" w:rsidRDefault="000874AC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  <w:r>
        <w:rPr>
          <w:noProof/>
        </w:rPr>
        <w:drawing>
          <wp:inline distT="0" distB="0" distL="0" distR="0" wp14:anchorId="3E72BE04" wp14:editId="52F0844E">
            <wp:extent cx="1819275" cy="638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68B27" w14:textId="77777777" w:rsidR="00045FF9" w:rsidRPr="00812247" w:rsidRDefault="00045FF9" w:rsidP="00045FF9">
      <w:pPr>
        <w:pStyle w:val="BodyText"/>
        <w:spacing w:before="6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14E5367B" w14:textId="77777777" w:rsidR="00045FF9" w:rsidRPr="00812247" w:rsidRDefault="00045FF9" w:rsidP="00045FF9">
      <w:pPr>
        <w:pStyle w:val="BodyText"/>
        <w:spacing w:before="5"/>
        <w:contextualSpacing/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</w:pP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  <w:r w:rsidRPr="00812247">
        <w:rPr>
          <w:rFonts w:ascii="Times New Roman" w:hAnsi="Times New Roman" w:cs="Times New Roman"/>
          <w:b/>
          <w:sz w:val="22"/>
          <w:szCs w:val="22"/>
          <w:u w:val="single"/>
          <w:lang w:val="pl-PL"/>
        </w:rPr>
        <w:tab/>
      </w:r>
    </w:p>
    <w:p w14:paraId="7F88B376" w14:textId="6E3D802E" w:rsidR="00773808" w:rsidRPr="000874AC" w:rsidRDefault="00045FF9" w:rsidP="000874AC">
      <w:pPr>
        <w:pStyle w:val="BodyText"/>
        <w:spacing w:before="5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  <w:r w:rsidRPr="00812247">
        <w:rPr>
          <w:rFonts w:ascii="Times New Roman" w:hAnsi="Times New Roman" w:cs="Times New Roman"/>
          <w:bCs/>
          <w:sz w:val="22"/>
          <w:szCs w:val="22"/>
          <w:lang w:val="pl-PL"/>
        </w:rPr>
        <w:t>Ehsan Zargar</w:t>
      </w:r>
      <w:r w:rsidR="000874AC">
        <w:rPr>
          <w:rFonts w:ascii="Times New Roman" w:hAnsi="Times New Roman" w:cs="Times New Roman"/>
          <w:bCs/>
          <w:sz w:val="22"/>
          <w:szCs w:val="22"/>
          <w:lang w:val="pl-PL"/>
        </w:rPr>
        <w:t xml:space="preserve">, </w:t>
      </w:r>
      <w:r w:rsidR="00773808" w:rsidRPr="00812247">
        <w:rPr>
          <w:rFonts w:ascii="Times New Roman" w:hAnsi="Times New Roman" w:cs="Times New Roman"/>
          <w:lang w:val="pl-PL"/>
        </w:rPr>
        <w:t>Wiceprezes, Główny Radca Prawny i Sekretarz Spółki</w:t>
      </w:r>
    </w:p>
    <w:p w14:paraId="3A599F71" w14:textId="77777777" w:rsidR="00045FF9" w:rsidRPr="00812247" w:rsidRDefault="00045FF9" w:rsidP="00045FF9">
      <w:pPr>
        <w:pStyle w:val="BodyText"/>
        <w:spacing w:before="5"/>
        <w:contextualSpacing/>
        <w:rPr>
          <w:rFonts w:ascii="Times New Roman" w:hAnsi="Times New Roman" w:cs="Times New Roman"/>
          <w:bCs/>
          <w:sz w:val="22"/>
          <w:szCs w:val="22"/>
          <w:lang w:val="pl-PL"/>
        </w:rPr>
      </w:pPr>
    </w:p>
    <w:p w14:paraId="1B468958" w14:textId="77777777" w:rsidR="001D00FE" w:rsidRPr="00812247" w:rsidRDefault="001D00FE">
      <w:pPr>
        <w:rPr>
          <w:rFonts w:ascii="Times New Roman" w:hAnsi="Times New Roman" w:cs="Times New Roman"/>
          <w:lang w:val="pl-PL"/>
        </w:rPr>
      </w:pPr>
    </w:p>
    <w:sectPr w:rsidR="001D00FE" w:rsidRPr="00812247" w:rsidSect="003473B4">
      <w:headerReference w:type="default" r:id="rId12"/>
      <w:footerReference w:type="default" r:id="rId13"/>
      <w:pgSz w:w="12240" w:h="15840"/>
      <w:pgMar w:top="1440" w:right="1440" w:bottom="1440" w:left="1440" w:header="0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9CC10" w14:textId="77777777" w:rsidR="00177295" w:rsidRDefault="00177295">
      <w:r>
        <w:separator/>
      </w:r>
    </w:p>
  </w:endnote>
  <w:endnote w:type="continuationSeparator" w:id="0">
    <w:p w14:paraId="6B62A2E2" w14:textId="77777777" w:rsidR="00177295" w:rsidRDefault="0017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0616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F00A9" w14:textId="77777777" w:rsidR="003473B4" w:rsidRDefault="00087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24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5D919E7" w14:textId="77777777" w:rsidR="003473B4" w:rsidRDefault="003473B4">
    <w:pPr>
      <w:pStyle w:val="BodyText"/>
      <w:spacing w:line="14" w:lineRule="auto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D9893" w14:textId="77777777" w:rsidR="00177295" w:rsidRDefault="00177295">
      <w:r>
        <w:separator/>
      </w:r>
    </w:p>
  </w:footnote>
  <w:footnote w:type="continuationSeparator" w:id="0">
    <w:p w14:paraId="162D10E7" w14:textId="77777777" w:rsidR="00177295" w:rsidRDefault="0017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A1B6F" w14:textId="77777777" w:rsidR="003473B4" w:rsidRDefault="003473B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065FB"/>
    <w:multiLevelType w:val="multilevel"/>
    <w:tmpl w:val="45900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E73D2"/>
    <w:multiLevelType w:val="hybridMultilevel"/>
    <w:tmpl w:val="3778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C4886"/>
    <w:multiLevelType w:val="hybridMultilevel"/>
    <w:tmpl w:val="602615BE"/>
    <w:lvl w:ilvl="0" w:tplc="D220B762">
      <w:start w:val="1"/>
      <w:numFmt w:val="upperRoman"/>
      <w:lvlText w:val="%1."/>
      <w:lvlJc w:val="left"/>
      <w:pPr>
        <w:ind w:left="860" w:hanging="720"/>
      </w:pPr>
      <w:rPr>
        <w:rFonts w:ascii="Garamond" w:eastAsia="Garamond" w:hAnsi="Garamond" w:cs="Garamond" w:hint="default"/>
        <w:b/>
        <w:bCs/>
        <w:spacing w:val="-1"/>
        <w:w w:val="10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860" w:hanging="360"/>
      </w:pPr>
      <w:rPr>
        <w:rFonts w:hint="default"/>
        <w:w w:val="100"/>
        <w:sz w:val="24"/>
        <w:szCs w:val="24"/>
      </w:rPr>
    </w:lvl>
    <w:lvl w:ilvl="2" w:tplc="3530E2EC"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0754868A">
      <w:numFmt w:val="bullet"/>
      <w:lvlText w:val="•"/>
      <w:lvlJc w:val="left"/>
      <w:pPr>
        <w:ind w:left="3530" w:hanging="360"/>
      </w:pPr>
      <w:rPr>
        <w:rFonts w:hint="default"/>
      </w:rPr>
    </w:lvl>
    <w:lvl w:ilvl="4" w:tplc="CE2A9F38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D160D686">
      <w:numFmt w:val="bullet"/>
      <w:lvlText w:val="•"/>
      <w:lvlJc w:val="left"/>
      <w:pPr>
        <w:ind w:left="5310" w:hanging="360"/>
      </w:pPr>
      <w:rPr>
        <w:rFonts w:hint="default"/>
      </w:rPr>
    </w:lvl>
    <w:lvl w:ilvl="6" w:tplc="5F92F242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8482031E">
      <w:numFmt w:val="bullet"/>
      <w:lvlText w:val="•"/>
      <w:lvlJc w:val="left"/>
      <w:pPr>
        <w:ind w:left="7090" w:hanging="360"/>
      </w:pPr>
      <w:rPr>
        <w:rFonts w:hint="default"/>
      </w:rPr>
    </w:lvl>
    <w:lvl w:ilvl="8" w:tplc="F1B43E34">
      <w:numFmt w:val="bullet"/>
      <w:lvlText w:val="•"/>
      <w:lvlJc w:val="left"/>
      <w:pPr>
        <w:ind w:left="7980" w:hanging="360"/>
      </w:pPr>
      <w:rPr>
        <w:rFonts w:hint="default"/>
      </w:rPr>
    </w:lvl>
  </w:abstractNum>
  <w:abstractNum w:abstractNumId="3" w15:restartNumberingAfterBreak="0">
    <w:nsid w:val="5D344B65"/>
    <w:multiLevelType w:val="multilevel"/>
    <w:tmpl w:val="5A70132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FF9"/>
    <w:rsid w:val="0000542E"/>
    <w:rsid w:val="00017631"/>
    <w:rsid w:val="00026666"/>
    <w:rsid w:val="00045FF9"/>
    <w:rsid w:val="00061B30"/>
    <w:rsid w:val="00071E46"/>
    <w:rsid w:val="0007294D"/>
    <w:rsid w:val="000871CB"/>
    <w:rsid w:val="000874AC"/>
    <w:rsid w:val="00087D6C"/>
    <w:rsid w:val="00095F22"/>
    <w:rsid w:val="00095FC2"/>
    <w:rsid w:val="00097ECD"/>
    <w:rsid w:val="000B28E6"/>
    <w:rsid w:val="000F133D"/>
    <w:rsid w:val="001000A4"/>
    <w:rsid w:val="00106FF8"/>
    <w:rsid w:val="00145C84"/>
    <w:rsid w:val="0017652E"/>
    <w:rsid w:val="00177295"/>
    <w:rsid w:val="00181F9D"/>
    <w:rsid w:val="00185CE7"/>
    <w:rsid w:val="00192C07"/>
    <w:rsid w:val="00196691"/>
    <w:rsid w:val="001B23E8"/>
    <w:rsid w:val="001D00FE"/>
    <w:rsid w:val="001D0697"/>
    <w:rsid w:val="001D705B"/>
    <w:rsid w:val="00202D1D"/>
    <w:rsid w:val="00205BA9"/>
    <w:rsid w:val="0021666A"/>
    <w:rsid w:val="00217AF2"/>
    <w:rsid w:val="00225F92"/>
    <w:rsid w:val="00235066"/>
    <w:rsid w:val="00246BF0"/>
    <w:rsid w:val="00271FF1"/>
    <w:rsid w:val="0027442C"/>
    <w:rsid w:val="00275DFF"/>
    <w:rsid w:val="00276D90"/>
    <w:rsid w:val="0029390E"/>
    <w:rsid w:val="00296C0C"/>
    <w:rsid w:val="002B6A88"/>
    <w:rsid w:val="002E38DD"/>
    <w:rsid w:val="002F3C58"/>
    <w:rsid w:val="003027E6"/>
    <w:rsid w:val="00320D53"/>
    <w:rsid w:val="00323CFF"/>
    <w:rsid w:val="003305A6"/>
    <w:rsid w:val="00340B0A"/>
    <w:rsid w:val="0034650C"/>
    <w:rsid w:val="003473B4"/>
    <w:rsid w:val="00364D5F"/>
    <w:rsid w:val="00375E8E"/>
    <w:rsid w:val="003763E3"/>
    <w:rsid w:val="003806A0"/>
    <w:rsid w:val="003B0C50"/>
    <w:rsid w:val="003F1CAD"/>
    <w:rsid w:val="003F7C8A"/>
    <w:rsid w:val="0040287A"/>
    <w:rsid w:val="004269F6"/>
    <w:rsid w:val="00431557"/>
    <w:rsid w:val="00463385"/>
    <w:rsid w:val="00466526"/>
    <w:rsid w:val="00471D64"/>
    <w:rsid w:val="0049237B"/>
    <w:rsid w:val="0049698C"/>
    <w:rsid w:val="004A02B6"/>
    <w:rsid w:val="004A1B58"/>
    <w:rsid w:val="004A2CC8"/>
    <w:rsid w:val="004B192C"/>
    <w:rsid w:val="004B33CA"/>
    <w:rsid w:val="004B45D4"/>
    <w:rsid w:val="004D2BF5"/>
    <w:rsid w:val="004E560D"/>
    <w:rsid w:val="004F30D4"/>
    <w:rsid w:val="004F5EF3"/>
    <w:rsid w:val="005034A4"/>
    <w:rsid w:val="00512EAE"/>
    <w:rsid w:val="005351FC"/>
    <w:rsid w:val="0055212D"/>
    <w:rsid w:val="005537E4"/>
    <w:rsid w:val="00575F1C"/>
    <w:rsid w:val="005910FF"/>
    <w:rsid w:val="00593BA1"/>
    <w:rsid w:val="005B496A"/>
    <w:rsid w:val="005C1647"/>
    <w:rsid w:val="005C243B"/>
    <w:rsid w:val="005D696D"/>
    <w:rsid w:val="005E2DE1"/>
    <w:rsid w:val="00601626"/>
    <w:rsid w:val="00625FE6"/>
    <w:rsid w:val="00636588"/>
    <w:rsid w:val="00641B85"/>
    <w:rsid w:val="00654096"/>
    <w:rsid w:val="0066186C"/>
    <w:rsid w:val="00685AA5"/>
    <w:rsid w:val="00695299"/>
    <w:rsid w:val="00696C5A"/>
    <w:rsid w:val="006973C5"/>
    <w:rsid w:val="00697F1B"/>
    <w:rsid w:val="006B74AC"/>
    <w:rsid w:val="006D45EC"/>
    <w:rsid w:val="006D712C"/>
    <w:rsid w:val="0071718E"/>
    <w:rsid w:val="0072233E"/>
    <w:rsid w:val="00726E41"/>
    <w:rsid w:val="0073115D"/>
    <w:rsid w:val="00740D77"/>
    <w:rsid w:val="00753BC5"/>
    <w:rsid w:val="00756C3B"/>
    <w:rsid w:val="00760823"/>
    <w:rsid w:val="00764232"/>
    <w:rsid w:val="00773808"/>
    <w:rsid w:val="007C077B"/>
    <w:rsid w:val="007C6042"/>
    <w:rsid w:val="007E5475"/>
    <w:rsid w:val="007E5C39"/>
    <w:rsid w:val="007F2295"/>
    <w:rsid w:val="007F2B2C"/>
    <w:rsid w:val="00804669"/>
    <w:rsid w:val="00812247"/>
    <w:rsid w:val="00836B1E"/>
    <w:rsid w:val="00836C1F"/>
    <w:rsid w:val="008650DF"/>
    <w:rsid w:val="00873FD3"/>
    <w:rsid w:val="00895FD3"/>
    <w:rsid w:val="008B2BC5"/>
    <w:rsid w:val="008C242B"/>
    <w:rsid w:val="008C3104"/>
    <w:rsid w:val="008D398E"/>
    <w:rsid w:val="008E6D3B"/>
    <w:rsid w:val="00910009"/>
    <w:rsid w:val="00910216"/>
    <w:rsid w:val="00920674"/>
    <w:rsid w:val="00942058"/>
    <w:rsid w:val="00971A4F"/>
    <w:rsid w:val="00973DEC"/>
    <w:rsid w:val="00986018"/>
    <w:rsid w:val="00995CFA"/>
    <w:rsid w:val="009A0BD1"/>
    <w:rsid w:val="009B04D4"/>
    <w:rsid w:val="009B12B2"/>
    <w:rsid w:val="009C6AAE"/>
    <w:rsid w:val="009D78A0"/>
    <w:rsid w:val="00A1022F"/>
    <w:rsid w:val="00A17C70"/>
    <w:rsid w:val="00A220A3"/>
    <w:rsid w:val="00A33A45"/>
    <w:rsid w:val="00A35CBA"/>
    <w:rsid w:val="00A36369"/>
    <w:rsid w:val="00A474CF"/>
    <w:rsid w:val="00A47C10"/>
    <w:rsid w:val="00A773C8"/>
    <w:rsid w:val="00A80235"/>
    <w:rsid w:val="00A8645B"/>
    <w:rsid w:val="00A87F1E"/>
    <w:rsid w:val="00A91B20"/>
    <w:rsid w:val="00A95A28"/>
    <w:rsid w:val="00A975C4"/>
    <w:rsid w:val="00AA7D80"/>
    <w:rsid w:val="00AB1C0F"/>
    <w:rsid w:val="00AD5947"/>
    <w:rsid w:val="00AD6846"/>
    <w:rsid w:val="00B0592A"/>
    <w:rsid w:val="00B0627B"/>
    <w:rsid w:val="00B071E5"/>
    <w:rsid w:val="00B1349F"/>
    <w:rsid w:val="00B313D6"/>
    <w:rsid w:val="00B5092D"/>
    <w:rsid w:val="00B511D3"/>
    <w:rsid w:val="00B5742C"/>
    <w:rsid w:val="00B6650E"/>
    <w:rsid w:val="00B7529F"/>
    <w:rsid w:val="00B909DC"/>
    <w:rsid w:val="00B94D47"/>
    <w:rsid w:val="00B96879"/>
    <w:rsid w:val="00BA0885"/>
    <w:rsid w:val="00BB7828"/>
    <w:rsid w:val="00BC0826"/>
    <w:rsid w:val="00BF2E93"/>
    <w:rsid w:val="00BF4C2D"/>
    <w:rsid w:val="00BF79DE"/>
    <w:rsid w:val="00C07BC7"/>
    <w:rsid w:val="00C16830"/>
    <w:rsid w:val="00C662C3"/>
    <w:rsid w:val="00C71448"/>
    <w:rsid w:val="00C808EC"/>
    <w:rsid w:val="00C95A38"/>
    <w:rsid w:val="00CA2BEB"/>
    <w:rsid w:val="00CA63E4"/>
    <w:rsid w:val="00CB489B"/>
    <w:rsid w:val="00CD2632"/>
    <w:rsid w:val="00CD6326"/>
    <w:rsid w:val="00CD72FE"/>
    <w:rsid w:val="00D00693"/>
    <w:rsid w:val="00D17FBD"/>
    <w:rsid w:val="00D4655F"/>
    <w:rsid w:val="00D54444"/>
    <w:rsid w:val="00D6642E"/>
    <w:rsid w:val="00D86884"/>
    <w:rsid w:val="00DA0B59"/>
    <w:rsid w:val="00DB48C3"/>
    <w:rsid w:val="00DB7FE8"/>
    <w:rsid w:val="00DC0AEB"/>
    <w:rsid w:val="00DD14CC"/>
    <w:rsid w:val="00DD5047"/>
    <w:rsid w:val="00DE06F8"/>
    <w:rsid w:val="00DE2E3A"/>
    <w:rsid w:val="00DE3808"/>
    <w:rsid w:val="00DE4EF2"/>
    <w:rsid w:val="00DE5280"/>
    <w:rsid w:val="00E02DF7"/>
    <w:rsid w:val="00E04BFD"/>
    <w:rsid w:val="00E159DD"/>
    <w:rsid w:val="00E35263"/>
    <w:rsid w:val="00E44382"/>
    <w:rsid w:val="00E46CFD"/>
    <w:rsid w:val="00E47999"/>
    <w:rsid w:val="00E56CA7"/>
    <w:rsid w:val="00E66A16"/>
    <w:rsid w:val="00E82677"/>
    <w:rsid w:val="00EB2EAC"/>
    <w:rsid w:val="00EC4DB7"/>
    <w:rsid w:val="00ED1028"/>
    <w:rsid w:val="00ED175C"/>
    <w:rsid w:val="00ED5B92"/>
    <w:rsid w:val="00EF21C3"/>
    <w:rsid w:val="00F01F05"/>
    <w:rsid w:val="00F02382"/>
    <w:rsid w:val="00F05EF4"/>
    <w:rsid w:val="00F41D1C"/>
    <w:rsid w:val="00F45D10"/>
    <w:rsid w:val="00F6105E"/>
    <w:rsid w:val="00F806D9"/>
    <w:rsid w:val="00F92B55"/>
    <w:rsid w:val="00FD1805"/>
    <w:rsid w:val="00FD5340"/>
    <w:rsid w:val="00FE38B8"/>
    <w:rsid w:val="00FE6C84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F3C537B"/>
  <w15:docId w15:val="{326F1D71-B737-7741-BF47-E3C76CDC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FF9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styleId="Heading1">
    <w:name w:val="heading 1"/>
    <w:basedOn w:val="Normal"/>
    <w:link w:val="Heading1Char"/>
    <w:uiPriority w:val="9"/>
    <w:qFormat/>
    <w:rsid w:val="00045FF9"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FF9"/>
    <w:rPr>
      <w:rFonts w:ascii="Garamond" w:eastAsia="Garamond" w:hAnsi="Garamond" w:cs="Garamond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45FF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5FF9"/>
    <w:rPr>
      <w:rFonts w:ascii="Garamond" w:eastAsia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5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FF9"/>
    <w:rPr>
      <w:rFonts w:ascii="Garamond" w:eastAsia="Garamond" w:hAnsi="Garamond" w:cs="Garamond"/>
    </w:rPr>
  </w:style>
  <w:style w:type="paragraph" w:styleId="NormalWeb">
    <w:name w:val="Normal (Web)"/>
    <w:basedOn w:val="Normal"/>
    <w:uiPriority w:val="99"/>
    <w:semiHidden/>
    <w:unhideWhenUsed/>
    <w:rsid w:val="00045FF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45FF9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Infotext">
    <w:name w:val="Policy Info text"/>
    <w:basedOn w:val="Normal"/>
    <w:autoRedefine/>
    <w:rsid w:val="00045FF9"/>
    <w:pPr>
      <w:widowControl/>
      <w:autoSpaceDE/>
      <w:autoSpaceDN/>
      <w:ind w:left="180"/>
    </w:pPr>
    <w:rPr>
      <w:rFonts w:eastAsia="Times New Roman" w:cs="Times New Roman"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45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FF9"/>
    <w:rPr>
      <w:rFonts w:ascii="Garamond" w:eastAsia="Garamond" w:hAnsi="Garamond" w:cs="Garamon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5FF9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FC2"/>
    <w:rPr>
      <w:rFonts w:ascii="Garamond" w:eastAsia="Garamond" w:hAnsi="Garamond" w:cs="Garamond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4650C"/>
    <w:pPr>
      <w:spacing w:after="0" w:line="240" w:lineRule="auto"/>
    </w:pPr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3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3E4"/>
    <w:rPr>
      <w:rFonts w:ascii="Segoe UI" w:eastAsia="Garamond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62C3"/>
    <w:rPr>
      <w:color w:val="605E5C"/>
      <w:shd w:val="clear" w:color="auto" w:fill="E1DFDD"/>
    </w:rPr>
  </w:style>
  <w:style w:type="table" w:customStyle="1" w:styleId="Tabela-Siatka1">
    <w:name w:val="Tabela - Siatka1"/>
    <w:basedOn w:val="TableNormal"/>
    <w:next w:val="TableGrid"/>
    <w:uiPriority w:val="59"/>
    <w:rsid w:val="00A95A2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AreaHeading">
    <w:name w:val="Policy Area Heading"/>
    <w:basedOn w:val="Normal"/>
    <w:rsid w:val="00DE3808"/>
    <w:pPr>
      <w:widowControl/>
      <w:autoSpaceDE/>
      <w:autoSpaceDN/>
    </w:pPr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0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05B"/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png@01D57F85.A5D734E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secure.ethicspoint.com/domain/media/en/gui/7424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1349-B149-4B58-AF88-5D24DBFB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2097</Words>
  <Characters>11261</Characters>
  <Application>Microsoft Office Word</Application>
  <DocSecurity>0</DocSecurity>
  <Lines>170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7" baseType="lpstr">
      <vt:lpstr/>
      <vt:lpstr/>
      <vt:lpstr>Wprowadzenie i streszczenie</vt:lpstr>
      <vt:lpstr>Procedury zgłaszania w trybie wewnętrznym</vt:lpstr>
      <vt:lpstr/>
      <vt:lpstr>Zewnętrzne kanały zgłaszania</vt:lpstr>
      <vt:lpstr>Dane teleadresowe</vt:lpstr>
    </vt:vector>
  </TitlesOfParts>
  <Manager/>
  <Company>ASTA-USA</Company>
  <LinksUpToDate>false</LinksUpToDate>
  <CharactersWithSpaces>13329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Mohan, Kerry</dc:creator>
  <cp:keywords/>
  <dc:description/>
  <cp:lastModifiedBy>Mohan, Kerry</cp:lastModifiedBy>
  <cp:revision>2</cp:revision>
  <cp:lastPrinted>2022-08-25T18:21:00Z</cp:lastPrinted>
  <dcterms:created xsi:type="dcterms:W3CDTF">2022-08-30T14:08:00Z</dcterms:created>
  <dcterms:modified xsi:type="dcterms:W3CDTF">2022-08-30T14:08:00Z</dcterms:modified>
  <cp:category/>
</cp:coreProperties>
</file>