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8D007" w14:textId="77777777" w:rsidR="00045FF9" w:rsidRPr="003A60D7" w:rsidRDefault="00045FF9" w:rsidP="00045FF9">
      <w:pPr>
        <w:pStyle w:val="BodyText"/>
        <w:contextualSpacing/>
        <w:jc w:val="center"/>
        <w:rPr>
          <w:rFonts w:ascii="Times New Roman" w:hAnsi="Times New Roman" w:cs="Times New Roman"/>
          <w:sz w:val="22"/>
          <w:szCs w:val="22"/>
        </w:rPr>
      </w:pPr>
      <w:r>
        <w:rPr>
          <w:rFonts w:ascii="Times New Roman" w:hAnsi="Times New Roman"/>
          <w:noProof/>
          <w:sz w:val="22"/>
          <w:szCs w:val="22"/>
        </w:rPr>
        <w:drawing>
          <wp:inline distT="0" distB="0" distL="0" distR="0" wp14:anchorId="4751F2C2" wp14:editId="2DDADF75">
            <wp:extent cx="1743075" cy="484098"/>
            <wp:effectExtent l="0" t="0" r="0" b="0"/>
            <wp:docPr id="1" name="image1.png"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picture containing logo&#10;&#10;Description automatically generated"/>
                    <pic:cNvPicPr/>
                  </pic:nvPicPr>
                  <pic:blipFill>
                    <a:blip r:embed="rId8" cstate="print"/>
                    <a:stretch>
                      <a:fillRect/>
                    </a:stretch>
                  </pic:blipFill>
                  <pic:spPr>
                    <a:xfrm>
                      <a:off x="0" y="0"/>
                      <a:ext cx="1790244" cy="497198"/>
                    </a:xfrm>
                    <a:prstGeom prst="rect">
                      <a:avLst/>
                    </a:prstGeom>
                  </pic:spPr>
                </pic:pic>
              </a:graphicData>
            </a:graphic>
          </wp:inline>
        </w:drawing>
      </w:r>
    </w:p>
    <w:p w14:paraId="0BE16DEB" w14:textId="10829082" w:rsidR="00045FF9" w:rsidRPr="003A60D7" w:rsidRDefault="00045FF9" w:rsidP="00045FF9">
      <w:pPr>
        <w:pStyle w:val="BodyText"/>
        <w:spacing w:before="4"/>
        <w:contextualSpacing/>
        <w:jc w:val="center"/>
        <w:rPr>
          <w:rFonts w:ascii="Times New Roman" w:hAnsi="Times New Roman" w:cs="Times New Roman"/>
          <w:b/>
          <w:sz w:val="22"/>
          <w:szCs w:val="22"/>
        </w:rPr>
      </w:pPr>
      <w:r>
        <w:rPr>
          <w:rFonts w:ascii="Times New Roman" w:hAnsi="Times New Roman"/>
          <w:noProof/>
          <w:sz w:val="22"/>
          <w:szCs w:val="22"/>
        </w:rPr>
        <mc:AlternateContent>
          <mc:Choice Requires="wps">
            <w:drawing>
              <wp:anchor distT="0" distB="0" distL="0" distR="0" simplePos="0" relativeHeight="251659264" behindDoc="0" locked="0" layoutInCell="1" allowOverlap="1" wp14:anchorId="40BB6352" wp14:editId="6FDE1621">
                <wp:simplePos x="0" y="0"/>
                <wp:positionH relativeFrom="page">
                  <wp:posOffset>959485</wp:posOffset>
                </wp:positionH>
                <wp:positionV relativeFrom="paragraph">
                  <wp:posOffset>124460</wp:posOffset>
                </wp:positionV>
                <wp:extent cx="5998210" cy="0"/>
                <wp:effectExtent l="16510" t="17780" r="14605" b="10795"/>
                <wp:wrapTopAndBottom/>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8210" cy="0"/>
                        </a:xfrm>
                        <a:prstGeom prst="line">
                          <a:avLst/>
                        </a:prstGeom>
                        <a:noFill/>
                        <a:ln w="19050">
                          <a:solidFill>
                            <a:srgbClr val="66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7DC39804" id="Line 31"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55pt,9.8pt" to="547.8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" strokecolor="#666" strokeweight="1.5pt">
                <w10:wrap type="topAndBottom" anchorx="page"/>
              </v:line>
            </w:pict>
          </mc:Fallback>
        </mc:AlternateContent>
      </w:r>
      <w:r>
        <w:rPr>
          <w:rFonts w:ascii="Times New Roman" w:hAnsi="Times New Roman"/>
          <w:b/>
          <w:sz w:val="22"/>
          <w:szCs w:val="22"/>
        </w:rPr>
        <w:t>Nalevingsbeleid voor klokkenluidersrichtlijn van de Europese Unie</w:t>
      </w:r>
    </w:p>
    <w:p w14:paraId="62428DE3" w14:textId="5093742A" w:rsidR="00045FF9" w:rsidRPr="003A60D7" w:rsidRDefault="00045FF9" w:rsidP="00F85622">
      <w:pPr>
        <w:pStyle w:val="BodyText"/>
        <w:tabs>
          <w:tab w:val="left" w:pos="4678"/>
          <w:tab w:val="left" w:pos="4820"/>
        </w:tabs>
        <w:spacing w:before="4"/>
        <w:contextualSpacing/>
        <w:rPr>
          <w:rFonts w:ascii="Times New Roman" w:hAnsi="Times New Roman" w:cs="Times New Roman"/>
          <w:sz w:val="22"/>
          <w:szCs w:val="22"/>
        </w:rPr>
      </w:pPr>
      <w:r>
        <w:rPr>
          <w:rFonts w:ascii="Times New Roman" w:hAnsi="Times New Roman"/>
          <w:noProof/>
          <w:sz w:val="22"/>
          <w:szCs w:val="22"/>
        </w:rPr>
        <mc:AlternateContent>
          <mc:Choice Requires="wps">
            <w:drawing>
              <wp:anchor distT="0" distB="0" distL="0" distR="0" simplePos="0" relativeHeight="251660288" behindDoc="0" locked="0" layoutInCell="1" allowOverlap="1" wp14:anchorId="3603EBEC" wp14:editId="4F7E80FE">
                <wp:simplePos x="0" y="0"/>
                <wp:positionH relativeFrom="page">
                  <wp:posOffset>953135</wp:posOffset>
                </wp:positionH>
                <wp:positionV relativeFrom="paragraph">
                  <wp:posOffset>107950</wp:posOffset>
                </wp:positionV>
                <wp:extent cx="6010910" cy="0"/>
                <wp:effectExtent l="10160" t="11430" r="8255" b="7620"/>
                <wp:wrapTopAndBottom/>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910" cy="0"/>
                        </a:xfrm>
                        <a:prstGeom prst="line">
                          <a:avLst/>
                        </a:prstGeom>
                        <a:noFill/>
                        <a:ln w="13463">
                          <a:solidFill>
                            <a:srgbClr val="66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047956EE" id="Line 30"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05pt,8.5pt" to="548.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" strokecolor="#666" strokeweight=".37397mm">
                <w10:wrap type="topAndBottom" anchorx="page"/>
              </v:line>
            </w:pict>
          </mc:Fallback>
        </mc:AlternateContent>
      </w:r>
      <w:r>
        <w:rPr>
          <w:rFonts w:ascii="Times New Roman" w:hAnsi="Times New Roman"/>
          <w:b/>
          <w:sz w:val="22"/>
          <w:szCs w:val="22"/>
        </w:rPr>
        <w:t xml:space="preserve">Categorie: </w:t>
      </w:r>
      <w:r>
        <w:rPr>
          <w:rFonts w:ascii="Times New Roman" w:hAnsi="Times New Roman"/>
          <w:sz w:val="22"/>
          <w:szCs w:val="22"/>
        </w:rPr>
        <w:t>Functioneel gebied</w:t>
      </w:r>
      <w:r>
        <w:rPr>
          <w:rFonts w:ascii="Times New Roman" w:hAnsi="Times New Roman"/>
          <w:sz w:val="22"/>
          <w:szCs w:val="22"/>
        </w:rPr>
        <w:tab/>
      </w:r>
      <w:r>
        <w:rPr>
          <w:rFonts w:ascii="Times New Roman" w:hAnsi="Times New Roman"/>
          <w:b/>
          <w:sz w:val="22"/>
          <w:szCs w:val="22"/>
        </w:rPr>
        <w:t xml:space="preserve">Vastgestelde datum: </w:t>
      </w:r>
      <w:r>
        <w:t>Augustus 2022</w:t>
      </w:r>
    </w:p>
    <w:p w14:paraId="2E4A1C2D" w14:textId="067A8397" w:rsidR="00045FF9" w:rsidRPr="003A60D7" w:rsidRDefault="00045FF9" w:rsidP="00F85622">
      <w:pPr>
        <w:tabs>
          <w:tab w:val="left" w:pos="4678"/>
          <w:tab w:val="left" w:pos="5670"/>
        </w:tabs>
        <w:contextualSpacing/>
        <w:rPr>
          <w:rFonts w:ascii="Times New Roman" w:hAnsi="Times New Roman" w:cs="Times New Roman"/>
          <w:b/>
        </w:rPr>
      </w:pPr>
      <w:r>
        <w:rPr>
          <w:rFonts w:ascii="Times New Roman" w:hAnsi="Times New Roman"/>
          <w:b/>
        </w:rPr>
        <w:t xml:space="preserve">Verantwoordelijke afdeling: </w:t>
      </w:r>
      <w:r>
        <w:rPr>
          <w:rFonts w:ascii="Times New Roman" w:hAnsi="Times New Roman"/>
        </w:rPr>
        <w:t>Afdelingsnaam</w:t>
      </w:r>
      <w:r>
        <w:rPr>
          <w:rFonts w:ascii="Times New Roman" w:hAnsi="Times New Roman"/>
        </w:rPr>
        <w:tab/>
      </w:r>
      <w:r>
        <w:rPr>
          <w:rFonts w:ascii="Times New Roman" w:hAnsi="Times New Roman"/>
          <w:b/>
        </w:rPr>
        <w:t xml:space="preserve">Datum laatste herziening: </w:t>
      </w:r>
      <w:r>
        <w:rPr>
          <w:rFonts w:ascii="Times New Roman" w:hAnsi="Times New Roman"/>
          <w:bCs/>
        </w:rPr>
        <w:t>Augustus 2022</w:t>
      </w:r>
    </w:p>
    <w:p w14:paraId="6C27B499" w14:textId="2516F3A6" w:rsidR="00045FF9" w:rsidRPr="00F85622" w:rsidRDefault="00045FF9" w:rsidP="00F85622">
      <w:pPr>
        <w:tabs>
          <w:tab w:val="left" w:pos="4678"/>
          <w:tab w:val="left" w:pos="5940"/>
        </w:tabs>
        <w:spacing w:before="120"/>
        <w:ind w:right="-988"/>
        <w:contextualSpacing/>
        <w:rPr>
          <w:rFonts w:ascii="Times New Roman" w:hAnsi="Times New Roman" w:cs="Times New Roman"/>
          <w:bCs/>
          <w:spacing w:val="-6"/>
        </w:rPr>
      </w:pPr>
      <w:r>
        <w:rPr>
          <w:rFonts w:ascii="Times New Roman" w:hAnsi="Times New Roman"/>
          <w:b/>
        </w:rPr>
        <w:t xml:space="preserve">Verantwoordelijke bestuurder: </w:t>
      </w:r>
      <w:r>
        <w:rPr>
          <w:rFonts w:ascii="Times New Roman" w:hAnsi="Times New Roman"/>
        </w:rPr>
        <w:t>Ehsan Zargar</w:t>
      </w:r>
      <w:r>
        <w:rPr>
          <w:rFonts w:ascii="Times New Roman" w:hAnsi="Times New Roman"/>
        </w:rPr>
        <w:tab/>
      </w:r>
      <w:r w:rsidRPr="00F85622">
        <w:rPr>
          <w:rFonts w:ascii="Times New Roman" w:hAnsi="Times New Roman"/>
          <w:b/>
          <w:spacing w:val="-6"/>
        </w:rPr>
        <w:t xml:space="preserve">Datum gepubliceerd op SPB-bibliotheek: </w:t>
      </w:r>
      <w:r w:rsidRPr="00F85622">
        <w:rPr>
          <w:rFonts w:ascii="Times New Roman" w:hAnsi="Times New Roman"/>
          <w:bCs/>
          <w:spacing w:val="-6"/>
        </w:rPr>
        <w:t>Augustus 2022</w:t>
      </w:r>
    </w:p>
    <w:p w14:paraId="4A485202" w14:textId="77777777" w:rsidR="00045FF9" w:rsidRPr="003A60D7" w:rsidRDefault="00045FF9" w:rsidP="00045FF9">
      <w:pPr>
        <w:tabs>
          <w:tab w:val="left" w:pos="5490"/>
          <w:tab w:val="left" w:pos="5940"/>
        </w:tabs>
        <w:spacing w:before="120"/>
        <w:contextualSpacing/>
        <w:rPr>
          <w:rFonts w:ascii="Times New Roman" w:hAnsi="Times New Roman" w:cs="Times New Roman"/>
        </w:rPr>
      </w:pPr>
    </w:p>
    <w:tbl>
      <w:tblPr>
        <w:tblStyle w:val="TableGrid"/>
        <w:tblW w:w="9450" w:type="dxa"/>
        <w:tblInd w:w="108" w:type="dxa"/>
        <w:tblLook w:val="04A0" w:firstRow="1" w:lastRow="0" w:firstColumn="1" w:lastColumn="0" w:noHBand="0" w:noVBand="1"/>
      </w:tblPr>
      <w:tblGrid>
        <w:gridCol w:w="9450"/>
      </w:tblGrid>
      <w:tr w:rsidR="00045FF9" w:rsidRPr="003A60D7" w14:paraId="49CE261A" w14:textId="77777777" w:rsidTr="009E7712">
        <w:trPr>
          <w:trHeight w:val="260"/>
        </w:trPr>
        <w:tc>
          <w:tcPr>
            <w:tcW w:w="9450" w:type="dxa"/>
          </w:tcPr>
          <w:p w14:paraId="537EFD74" w14:textId="77777777" w:rsidR="00045FF9" w:rsidRPr="003A60D7" w:rsidRDefault="00045FF9" w:rsidP="009E7712">
            <w:pPr>
              <w:pStyle w:val="BodyText"/>
              <w:spacing w:before="123"/>
              <w:contextualSpacing/>
              <w:jc w:val="both"/>
              <w:rPr>
                <w:rFonts w:ascii="Times New Roman" w:hAnsi="Times New Roman" w:cs="Times New Roman"/>
                <w:b/>
                <w:bCs/>
                <w:sz w:val="22"/>
                <w:szCs w:val="22"/>
              </w:rPr>
            </w:pPr>
            <w:r>
              <w:rPr>
                <w:rFonts w:ascii="Times New Roman" w:hAnsi="Times New Roman"/>
                <w:b/>
                <w:bCs/>
                <w:sz w:val="22"/>
                <w:szCs w:val="22"/>
              </w:rPr>
              <w:t>Samenvatting</w:t>
            </w:r>
          </w:p>
        </w:tc>
      </w:tr>
    </w:tbl>
    <w:p w14:paraId="0498A0EB" w14:textId="77777777" w:rsidR="00045FF9" w:rsidRPr="003A60D7" w:rsidRDefault="00045FF9" w:rsidP="00045FF9">
      <w:pPr>
        <w:pStyle w:val="BodyText"/>
        <w:contextualSpacing/>
        <w:rPr>
          <w:rFonts w:ascii="Times New Roman" w:hAnsi="Times New Roman" w:cs="Times New Roman"/>
          <w:sz w:val="22"/>
          <w:szCs w:val="22"/>
        </w:rPr>
      </w:pPr>
    </w:p>
    <w:p w14:paraId="6E62194E" w14:textId="7E80CA84" w:rsidR="00045FF9" w:rsidRPr="003A60D7" w:rsidRDefault="00045FF9" w:rsidP="0014137C">
      <w:pPr>
        <w:pStyle w:val="BodyText"/>
        <w:tabs>
          <w:tab w:val="left" w:pos="284"/>
          <w:tab w:val="left" w:pos="5040"/>
        </w:tabs>
        <w:spacing w:before="123"/>
        <w:contextualSpacing/>
        <w:jc w:val="both"/>
        <w:rPr>
          <w:rFonts w:ascii="Times New Roman" w:hAnsi="Times New Roman" w:cs="Times New Roman"/>
          <w:sz w:val="22"/>
          <w:szCs w:val="22"/>
        </w:rPr>
      </w:pPr>
      <w:r>
        <w:rPr>
          <w:rFonts w:ascii="Times New Roman" w:hAnsi="Times New Roman"/>
          <w:sz w:val="22"/>
          <w:szCs w:val="22"/>
        </w:rPr>
        <w:t>Dit nalevingsbeleid voor klokkenluidersrichtlijn van de Europese Unie (het "</w:t>
      </w:r>
      <w:r>
        <w:rPr>
          <w:rFonts w:ascii="Times New Roman" w:hAnsi="Times New Roman"/>
          <w:sz w:val="22"/>
          <w:szCs w:val="22"/>
          <w:u w:val="single"/>
        </w:rPr>
        <w:t>Beleid</w:t>
      </w:r>
      <w:r>
        <w:rPr>
          <w:rFonts w:ascii="Times New Roman" w:hAnsi="Times New Roman"/>
          <w:sz w:val="22"/>
          <w:szCs w:val="22"/>
        </w:rPr>
        <w:t>") zet het beleid uiteen van Spectrum Brands Holdings, Inc. en haar gecontroleerde filialen en dochterondernemingen (gezamenlijk "</w:t>
      </w:r>
      <w:r>
        <w:rPr>
          <w:rFonts w:ascii="Times New Roman" w:hAnsi="Times New Roman"/>
          <w:sz w:val="22"/>
          <w:szCs w:val="22"/>
          <w:u w:val="single"/>
        </w:rPr>
        <w:t>Spectrum Brands</w:t>
      </w:r>
      <w:r>
        <w:rPr>
          <w:rFonts w:ascii="Times New Roman" w:hAnsi="Times New Roman"/>
          <w:sz w:val="22"/>
          <w:szCs w:val="22"/>
        </w:rPr>
        <w:t>" of het "</w:t>
      </w:r>
      <w:r>
        <w:rPr>
          <w:rFonts w:ascii="Times New Roman" w:hAnsi="Times New Roman"/>
          <w:sz w:val="22"/>
          <w:szCs w:val="22"/>
          <w:u w:val="single"/>
        </w:rPr>
        <w:t>Bedrijf</w:t>
      </w:r>
      <w:r>
        <w:rPr>
          <w:rFonts w:ascii="Times New Roman" w:hAnsi="Times New Roman"/>
          <w:sz w:val="22"/>
          <w:szCs w:val="22"/>
        </w:rPr>
        <w:t>") om volledig te voldoen aan Richtlijn 2019/1937 van de Europese Unie ("</w:t>
      </w:r>
      <w:r>
        <w:rPr>
          <w:rFonts w:ascii="Times New Roman" w:hAnsi="Times New Roman"/>
          <w:sz w:val="22"/>
          <w:szCs w:val="22"/>
          <w:u w:val="single"/>
        </w:rPr>
        <w:t>EU</w:t>
      </w:r>
      <w:r>
        <w:rPr>
          <w:rFonts w:ascii="Times New Roman" w:hAnsi="Times New Roman"/>
          <w:sz w:val="22"/>
          <w:szCs w:val="22"/>
        </w:rPr>
        <w:t>"</w:t>
      </w:r>
      <w:r>
        <w:rPr>
          <w:rFonts w:ascii="Times New Roman" w:hAnsi="Times New Roman"/>
          <w:sz w:val="22"/>
          <w:szCs w:val="22"/>
          <w:u w:val="single"/>
        </w:rPr>
        <w:t>)</w:t>
      </w:r>
      <w:r>
        <w:rPr>
          <w:rFonts w:ascii="Times New Roman" w:hAnsi="Times New Roman"/>
          <w:sz w:val="22"/>
          <w:szCs w:val="22"/>
        </w:rPr>
        <w:t xml:space="preserve"> de EU-klokkenluidersrichtlijn (de "</w:t>
      </w:r>
      <w:r>
        <w:rPr>
          <w:rFonts w:ascii="Times New Roman" w:hAnsi="Times New Roman"/>
          <w:sz w:val="22"/>
          <w:szCs w:val="22"/>
          <w:u w:val="single"/>
        </w:rPr>
        <w:t>Richtlijn</w:t>
      </w:r>
      <w:r>
        <w:rPr>
          <w:rFonts w:ascii="Times New Roman" w:hAnsi="Times New Roman"/>
          <w:sz w:val="22"/>
          <w:szCs w:val="22"/>
        </w:rPr>
        <w:t>"). Dit Beleid is een leidraad voor zowel Klokkenluiders, zoals gedefinieerd in dit beleid, als voor degenen die verantwoordelijk zijn voor het ontvangen, onderzoeken en opvolgen van meldingen overeenkomstig dit beleid.</w:t>
      </w:r>
    </w:p>
    <w:p w14:paraId="4471BF8B" w14:textId="77777777" w:rsidR="00045FF9" w:rsidRPr="003A60D7" w:rsidRDefault="00045FF9" w:rsidP="00045FF9">
      <w:pPr>
        <w:pStyle w:val="BodyText"/>
        <w:contextualSpacing/>
        <w:rPr>
          <w:rFonts w:ascii="Times New Roman" w:hAnsi="Times New Roman" w:cs="Times New Roman"/>
          <w:sz w:val="22"/>
          <w:szCs w:val="22"/>
        </w:rPr>
      </w:pPr>
    </w:p>
    <w:tbl>
      <w:tblPr>
        <w:tblStyle w:val="TableGrid"/>
        <w:tblW w:w="9450" w:type="dxa"/>
        <w:tblInd w:w="108" w:type="dxa"/>
        <w:tblLook w:val="04A0" w:firstRow="1" w:lastRow="0" w:firstColumn="1" w:lastColumn="0" w:noHBand="0" w:noVBand="1"/>
      </w:tblPr>
      <w:tblGrid>
        <w:gridCol w:w="9450"/>
      </w:tblGrid>
      <w:tr w:rsidR="00045FF9" w:rsidRPr="003A60D7" w14:paraId="2FF750D8" w14:textId="77777777" w:rsidTr="009E7712">
        <w:tc>
          <w:tcPr>
            <w:tcW w:w="9450" w:type="dxa"/>
          </w:tcPr>
          <w:p w14:paraId="5ACE1B39" w14:textId="77777777" w:rsidR="00045FF9" w:rsidRPr="003A60D7" w:rsidRDefault="00045FF9" w:rsidP="009E7712">
            <w:pPr>
              <w:pStyle w:val="BodyText"/>
              <w:contextualSpacing/>
              <w:rPr>
                <w:rFonts w:ascii="Times New Roman" w:hAnsi="Times New Roman" w:cs="Times New Roman"/>
                <w:b/>
                <w:bCs/>
                <w:sz w:val="22"/>
                <w:szCs w:val="22"/>
              </w:rPr>
            </w:pPr>
            <w:r>
              <w:rPr>
                <w:rFonts w:ascii="Times New Roman" w:hAnsi="Times New Roman"/>
                <w:b/>
                <w:bCs/>
                <w:sz w:val="22"/>
                <w:szCs w:val="22"/>
              </w:rPr>
              <w:t>Toepassingsbereik</w:t>
            </w:r>
          </w:p>
        </w:tc>
      </w:tr>
    </w:tbl>
    <w:p w14:paraId="3DE540F7" w14:textId="77777777" w:rsidR="00045FF9" w:rsidRPr="003A60D7" w:rsidRDefault="00045FF9" w:rsidP="00045FF9">
      <w:pPr>
        <w:pStyle w:val="BodyText"/>
        <w:contextualSpacing/>
        <w:rPr>
          <w:rFonts w:ascii="Times New Roman" w:hAnsi="Times New Roman" w:cs="Times New Roman"/>
          <w:sz w:val="22"/>
          <w:szCs w:val="22"/>
        </w:rPr>
      </w:pPr>
    </w:p>
    <w:p w14:paraId="28F7947F" w14:textId="0154AC2B" w:rsidR="00986018" w:rsidRPr="00986018" w:rsidRDefault="00045FF9" w:rsidP="0014137C">
      <w:pPr>
        <w:pStyle w:val="BodyText"/>
        <w:contextualSpacing/>
        <w:jc w:val="both"/>
        <w:rPr>
          <w:rFonts w:ascii="Times New Roman" w:hAnsi="Times New Roman" w:cs="Times New Roman"/>
          <w:sz w:val="22"/>
          <w:szCs w:val="22"/>
        </w:rPr>
      </w:pPr>
      <w:r>
        <w:rPr>
          <w:rFonts w:ascii="Times New Roman" w:hAnsi="Times New Roman"/>
          <w:sz w:val="22"/>
          <w:szCs w:val="22"/>
        </w:rPr>
        <w:t xml:space="preserve">Dit Beleid geldt voor alle werknemers van Spectrum Brands die in de Europese Unie werken, inclusief voltijdse, deeltijdse, tijdelijke, seizoens- of </w:t>
      </w:r>
      <w:r w:rsidR="00B372EC" w:rsidRPr="00B372EC">
        <w:rPr>
          <w:rFonts w:ascii="Times New Roman" w:hAnsi="Times New Roman"/>
          <w:sz w:val="22"/>
          <w:szCs w:val="22"/>
        </w:rPr>
        <w:t>kortetermijnwerknemers</w:t>
      </w:r>
      <w:r>
        <w:rPr>
          <w:rFonts w:ascii="Times New Roman" w:hAnsi="Times New Roman"/>
          <w:sz w:val="22"/>
          <w:szCs w:val="22"/>
        </w:rPr>
        <w:t>, alsmede stagiaires of contractanten die namens Spectrum Brands optreden. Het beleid beschermt ook personen die nog niet bij Spectrum Brands in dienst zijn, als de informatie die zij willen melden, wordt verkregen tijdens het aanwervingsproces of tijdens precontractuele onderhandelingen. Sommige landen kunnen lokale wettelijke vereisten hebben die verschillen van of verder gaan dan de vereisten van dit Beleid. Waar dat het geval is, is bovendien de toepasselijke lokale wetgeving of het beleid van toepassing.  Het is onwaarschijnlijk dat er ooit een conflict zal zijn tussen de toepasselijke lokale wetgeving en dit Beleid, maar mocht er een conflict zijn of mocht u een conflict vaststellen, laat het Spectrum Brands dan weten, en in elk geval zal de lokale wetgeving voorrang hebben op een conflictueuze vereiste in dit Beleid. Het Beleid is niet toereikend en niet bedoeld om alle toepasselijke wetgeving te dekken of om antwoorden te geven op alle vragen die zich zouden kunnen voordoen; daarvoor moeten we uiteindelijk vertrouwen eenieders criteria om te bepalen wat juist is, met inbegrip van het aanvoelen wanneer het gepast is om anderen om advies te vragen met betrekking tot de juiste manier van handelen.</w:t>
      </w:r>
    </w:p>
    <w:p w14:paraId="1EFA1D0C" w14:textId="391E7364" w:rsidR="00045FF9" w:rsidRPr="0014137C" w:rsidRDefault="00DE2E3A" w:rsidP="00045FF9">
      <w:pPr>
        <w:pStyle w:val="BodyText"/>
        <w:contextualSpacing/>
        <w:jc w:val="both"/>
        <w:rPr>
          <w:rFonts w:ascii="Times New Roman" w:hAnsi="Times New Roman" w:cs="Times New Roman"/>
          <w:sz w:val="18"/>
          <w:szCs w:val="18"/>
        </w:rPr>
      </w:pPr>
      <w:r>
        <w:rPr>
          <w:rFonts w:ascii="Times New Roman" w:hAnsi="Times New Roman"/>
          <w:sz w:val="22"/>
          <w:szCs w:val="22"/>
        </w:rPr>
        <w:t xml:space="preserve"> </w:t>
      </w:r>
    </w:p>
    <w:p w14:paraId="7C391C9D" w14:textId="77777777" w:rsidR="00045FF9" w:rsidRPr="0014137C" w:rsidRDefault="00045FF9" w:rsidP="00045FF9">
      <w:pPr>
        <w:pStyle w:val="BodyText"/>
        <w:contextualSpacing/>
        <w:rPr>
          <w:rFonts w:ascii="Times New Roman" w:hAnsi="Times New Roman" w:cs="Times New Roman"/>
          <w:sz w:val="18"/>
          <w:szCs w:val="18"/>
        </w:rPr>
      </w:pPr>
    </w:p>
    <w:tbl>
      <w:tblPr>
        <w:tblStyle w:val="TableGrid"/>
        <w:tblW w:w="9540" w:type="dxa"/>
        <w:tblInd w:w="18" w:type="dxa"/>
        <w:tblLook w:val="04A0" w:firstRow="1" w:lastRow="0" w:firstColumn="1" w:lastColumn="0" w:noHBand="0" w:noVBand="1"/>
      </w:tblPr>
      <w:tblGrid>
        <w:gridCol w:w="9540"/>
      </w:tblGrid>
      <w:tr w:rsidR="00045FF9" w:rsidRPr="003A60D7" w14:paraId="7869AE2E" w14:textId="77777777" w:rsidTr="009E7712">
        <w:tc>
          <w:tcPr>
            <w:tcW w:w="9540" w:type="dxa"/>
          </w:tcPr>
          <w:p w14:paraId="360BA946" w14:textId="77777777" w:rsidR="00045FF9" w:rsidRPr="003A60D7" w:rsidRDefault="00045FF9" w:rsidP="009E7712">
            <w:pPr>
              <w:pStyle w:val="BodyText"/>
              <w:spacing w:before="220"/>
              <w:contextualSpacing/>
              <w:jc w:val="both"/>
              <w:rPr>
                <w:rFonts w:ascii="Times New Roman" w:hAnsi="Times New Roman" w:cs="Times New Roman"/>
                <w:b/>
                <w:bCs/>
                <w:sz w:val="22"/>
                <w:szCs w:val="22"/>
              </w:rPr>
            </w:pPr>
            <w:r>
              <w:rPr>
                <w:rFonts w:ascii="Times New Roman" w:hAnsi="Times New Roman"/>
                <w:b/>
                <w:bCs/>
                <w:sz w:val="22"/>
                <w:szCs w:val="22"/>
              </w:rPr>
              <w:t>Beleidsnaleving</w:t>
            </w:r>
          </w:p>
        </w:tc>
      </w:tr>
    </w:tbl>
    <w:p w14:paraId="094C0D0E" w14:textId="77777777" w:rsidR="00045FF9" w:rsidRPr="003A60D7" w:rsidRDefault="00045FF9" w:rsidP="00045FF9">
      <w:pPr>
        <w:pStyle w:val="BodyText"/>
        <w:spacing w:before="2"/>
        <w:contextualSpacing/>
        <w:rPr>
          <w:rFonts w:ascii="Times New Roman" w:hAnsi="Times New Roman" w:cs="Times New Roman"/>
          <w:bCs/>
          <w:sz w:val="22"/>
          <w:szCs w:val="22"/>
        </w:rPr>
      </w:pPr>
    </w:p>
    <w:p w14:paraId="459D8CC1" w14:textId="77777777" w:rsidR="00045FF9" w:rsidRPr="003A60D7" w:rsidRDefault="00045FF9" w:rsidP="00045FF9">
      <w:pPr>
        <w:pStyle w:val="Heading1"/>
        <w:numPr>
          <w:ilvl w:val="0"/>
          <w:numId w:val="1"/>
        </w:numPr>
        <w:tabs>
          <w:tab w:val="left" w:pos="859"/>
          <w:tab w:val="left" w:pos="860"/>
        </w:tabs>
        <w:ind w:left="0" w:firstLine="0"/>
        <w:contextualSpacing/>
        <w:jc w:val="both"/>
        <w:rPr>
          <w:rFonts w:ascii="Times New Roman" w:hAnsi="Times New Roman" w:cs="Times New Roman"/>
          <w:sz w:val="22"/>
          <w:szCs w:val="22"/>
        </w:rPr>
      </w:pPr>
      <w:r>
        <w:rPr>
          <w:rFonts w:ascii="Times New Roman" w:hAnsi="Times New Roman"/>
          <w:sz w:val="22"/>
          <w:szCs w:val="22"/>
        </w:rPr>
        <w:t>Achtergrond en samenvatting</w:t>
      </w:r>
    </w:p>
    <w:p w14:paraId="482DAA92" w14:textId="77777777" w:rsidR="00045FF9" w:rsidRPr="003A60D7" w:rsidRDefault="00045FF9" w:rsidP="00045FF9">
      <w:pPr>
        <w:pStyle w:val="BodyText"/>
        <w:spacing w:before="2"/>
        <w:contextualSpacing/>
        <w:rPr>
          <w:rFonts w:ascii="Times New Roman" w:hAnsi="Times New Roman" w:cs="Times New Roman"/>
          <w:bCs/>
          <w:sz w:val="22"/>
          <w:szCs w:val="22"/>
        </w:rPr>
      </w:pPr>
    </w:p>
    <w:p w14:paraId="0DC37618" w14:textId="6778203A" w:rsidR="00A474CF" w:rsidRPr="0014137C" w:rsidRDefault="00087D6C" w:rsidP="00045FF9">
      <w:pPr>
        <w:pStyle w:val="BodyText"/>
        <w:spacing w:before="2"/>
        <w:contextualSpacing/>
        <w:jc w:val="both"/>
        <w:rPr>
          <w:rFonts w:ascii="Times New Roman" w:eastAsia="Times New Roman" w:hAnsi="Times New Roman" w:cs="Times New Roman"/>
          <w:spacing w:val="-4"/>
          <w:sz w:val="22"/>
          <w:szCs w:val="22"/>
        </w:rPr>
      </w:pPr>
      <w:r w:rsidRPr="0014137C">
        <w:rPr>
          <w:rFonts w:ascii="Times New Roman" w:hAnsi="Times New Roman" w:cs="Times New Roman"/>
          <w:spacing w:val="-4"/>
          <w:sz w:val="22"/>
          <w:szCs w:val="22"/>
        </w:rPr>
        <w:t>"</w:t>
      </w:r>
      <w:r w:rsidRPr="0014137C">
        <w:rPr>
          <w:rFonts w:ascii="Times New Roman" w:hAnsi="Times New Roman" w:cs="Times New Roman"/>
          <w:spacing w:val="-4"/>
          <w:sz w:val="22"/>
          <w:szCs w:val="22"/>
          <w:u w:val="single"/>
        </w:rPr>
        <w:t>Klokkenluiders</w:t>
      </w:r>
      <w:r w:rsidRPr="0014137C">
        <w:rPr>
          <w:rFonts w:ascii="Times New Roman" w:hAnsi="Times New Roman" w:cs="Times New Roman"/>
          <w:spacing w:val="-4"/>
          <w:sz w:val="22"/>
          <w:szCs w:val="22"/>
        </w:rPr>
        <w:t>" zijn personen die inbreuken op EU-wet- of regelgeving melden die met name, maar niet uitsluitend, betrekking hebben op de volgende gebieden: (i) overheidsopdrachten; (ii) financiële diensten, producten en markten, en voorkoming van het witwassen van geld of de financiering van terrorisme; (iii) productveiligheid en naleving van de voorschriften; (iv) vervoersveiligheid; (v) milieubescherming; (vi) stralingsbescherming en nucleaire veiligheid; (vii) veiligheid van levensmiddelen en diervoeders, met inbegrip van diergezondheid en dierenwelzijn; (viii) volksgezondheid; (ix) consumentenbescherming; (x) bescherming van de persoonlijke levenssfeer en persoonsgegevens, met inbegrip van de beveiliging van netwerk- en informatiesystemen; (xi) inbreuken die de financiële belangen van de EU schaden; (xii) andere inbreuken in verband met de interne markt van de EU, met inbegrip van de EU-regels inzake mededinging en staatssteun (gezamenlijk een “</w:t>
      </w:r>
      <w:r w:rsidRPr="0014137C">
        <w:rPr>
          <w:rFonts w:ascii="Times New Roman" w:hAnsi="Times New Roman" w:cs="Times New Roman"/>
          <w:spacing w:val="-4"/>
          <w:sz w:val="22"/>
          <w:szCs w:val="22"/>
          <w:u w:val="single"/>
        </w:rPr>
        <w:t>Inbreuk</w:t>
      </w:r>
      <w:r w:rsidRPr="0014137C">
        <w:rPr>
          <w:rFonts w:ascii="Times New Roman" w:hAnsi="Times New Roman" w:cs="Times New Roman"/>
          <w:spacing w:val="-4"/>
          <w:sz w:val="22"/>
          <w:szCs w:val="22"/>
        </w:rPr>
        <w:t>” genoemd).</w:t>
      </w:r>
      <w:r w:rsidR="0014137C" w:rsidRPr="0014137C">
        <w:rPr>
          <w:rFonts w:ascii="Times New Roman" w:eastAsia="Times New Roman" w:hAnsi="Times New Roman" w:cs="Times New Roman"/>
          <w:spacing w:val="-4"/>
          <w:sz w:val="22"/>
          <w:szCs w:val="22"/>
        </w:rPr>
        <w:t xml:space="preserve"> </w:t>
      </w:r>
      <w:r w:rsidR="00B94D47" w:rsidRPr="0014137C">
        <w:rPr>
          <w:rFonts w:ascii="Times New Roman" w:hAnsi="Times New Roman" w:cs="Times New Roman"/>
          <w:spacing w:val="-4"/>
          <w:sz w:val="22"/>
          <w:szCs w:val="22"/>
        </w:rPr>
        <w:t xml:space="preserve">De lidstaten van de EU hebben de bevoegdheid om de bescherming uit </w:t>
      </w:r>
      <w:r w:rsidR="00B94D47" w:rsidRPr="0014137C">
        <w:rPr>
          <w:rFonts w:ascii="Times New Roman" w:hAnsi="Times New Roman" w:cs="Times New Roman"/>
          <w:spacing w:val="-4"/>
          <w:sz w:val="22"/>
          <w:szCs w:val="22"/>
        </w:rPr>
        <w:lastRenderedPageBreak/>
        <w:t xml:space="preserve">hoofde van hun nationale wetgeving uit te breiden tot gebieden die niet in de bovenstaande lijst zijn opgenomen. Dit Beleid zal worden bijgewerkt naarmate de verschillende lidstaten de Richtlijn implementeren via hun nationale wetten, en de door dit Beleid beschreven bescherming kan breder zijn afhankelijk van de locatie van de Spectrum Brands-entiteit die u in dienst heeft. Voor personen die verantwoordelijk zijn voor het onderzoeken van meldingen, kunnen de procedures voor elke Spectrum Brands-entiteit variëren op basis van de lidstaat waar de Spectrum Brands-entiteit is gevestigd. Er kunnen aanzienlijke verschillen zijn tussen de implementatie van de Richtlijn in de verschillende lidstaten van de EU en dus tussen de verschillende bedrijfsentiteiten die onder dit Beleid vallen. Als een werknemer niet zeker weet welke richtlijn of vereiste van toepassing is in een specifiek land of situatie, neem dan contact op met het Juridisch en risicobeheerteam (LRM, Legal and Risk Management). </w:t>
      </w:r>
    </w:p>
    <w:p w14:paraId="432FCEE0" w14:textId="77777777" w:rsidR="00895FD3" w:rsidRPr="0014137C" w:rsidRDefault="00895FD3" w:rsidP="00045FF9">
      <w:pPr>
        <w:pStyle w:val="BodyText"/>
        <w:spacing w:before="9"/>
        <w:contextualSpacing/>
        <w:rPr>
          <w:rFonts w:ascii="Times New Roman" w:hAnsi="Times New Roman" w:cs="Times New Roman"/>
          <w:bCs/>
          <w:sz w:val="22"/>
          <w:szCs w:val="22"/>
        </w:rPr>
      </w:pPr>
    </w:p>
    <w:p w14:paraId="79853285" w14:textId="40D2AAC7" w:rsidR="00045FF9" w:rsidRPr="0014137C" w:rsidRDefault="00B7529F" w:rsidP="00DA0B59">
      <w:pPr>
        <w:pStyle w:val="BodyText"/>
        <w:numPr>
          <w:ilvl w:val="0"/>
          <w:numId w:val="1"/>
        </w:numPr>
        <w:spacing w:before="9"/>
        <w:ind w:left="720"/>
        <w:contextualSpacing/>
        <w:jc w:val="both"/>
        <w:rPr>
          <w:rFonts w:ascii="Times New Roman" w:hAnsi="Times New Roman" w:cs="Times New Roman"/>
          <w:sz w:val="22"/>
          <w:szCs w:val="22"/>
        </w:rPr>
      </w:pPr>
      <w:r w:rsidRPr="0014137C">
        <w:rPr>
          <w:rFonts w:ascii="Times New Roman" w:hAnsi="Times New Roman" w:cs="Times New Roman"/>
          <w:b/>
          <w:bCs/>
          <w:sz w:val="22"/>
          <w:szCs w:val="22"/>
        </w:rPr>
        <w:t>Voorwaarden voor bescherming onder het Beleid</w:t>
      </w:r>
    </w:p>
    <w:p w14:paraId="05F012C1" w14:textId="77777777" w:rsidR="00045FF9" w:rsidRPr="0014137C" w:rsidRDefault="00045FF9" w:rsidP="00045FF9">
      <w:pPr>
        <w:pStyle w:val="BodyText"/>
        <w:spacing w:before="9"/>
        <w:contextualSpacing/>
        <w:jc w:val="both"/>
        <w:rPr>
          <w:rFonts w:ascii="Times New Roman" w:hAnsi="Times New Roman" w:cs="Times New Roman"/>
          <w:sz w:val="22"/>
          <w:szCs w:val="22"/>
        </w:rPr>
      </w:pPr>
    </w:p>
    <w:p w14:paraId="4FE0F582" w14:textId="2177DE2A" w:rsidR="00045FF9" w:rsidRPr="0014137C" w:rsidRDefault="00A47C10" w:rsidP="00B7529F">
      <w:pPr>
        <w:pStyle w:val="BodyText"/>
        <w:spacing w:before="9"/>
        <w:contextualSpacing/>
        <w:jc w:val="both"/>
        <w:rPr>
          <w:rFonts w:ascii="Times New Roman" w:hAnsi="Times New Roman" w:cs="Times New Roman"/>
          <w:b/>
          <w:sz w:val="22"/>
          <w:szCs w:val="22"/>
        </w:rPr>
      </w:pPr>
      <w:r w:rsidRPr="0014137C">
        <w:rPr>
          <w:rFonts w:ascii="Times New Roman" w:hAnsi="Times New Roman" w:cs="Times New Roman"/>
          <w:sz w:val="22"/>
          <w:szCs w:val="22"/>
        </w:rPr>
        <w:t>Klokkenluiders komen in aanmerking voor bescherming op voorwaarde dat zij redelijke gronden hadden om aan te nemen dat de informatie die zij hadden betreffende een Schending waar was op het moment dat zij deze meldden, dat deze viel binnen de reikwijdte van dit Beleid en de Richtlijn, en zij deze informatie hetzij intern hebben gemeld overeenkomstig dit Beleid, hetzij extern zoals beschreven in de wetten van de EU-lidstaat waar de Spectrum Brands-entiteit die hen in dienst heeft, zich bevindt.</w:t>
      </w:r>
    </w:p>
    <w:p w14:paraId="043751A6" w14:textId="77777777" w:rsidR="00045FF9" w:rsidRPr="0014137C" w:rsidRDefault="00045FF9" w:rsidP="00045FF9">
      <w:pPr>
        <w:pStyle w:val="BodyText"/>
        <w:spacing w:before="9"/>
        <w:contextualSpacing/>
        <w:rPr>
          <w:rFonts w:ascii="Times New Roman" w:hAnsi="Times New Roman" w:cs="Times New Roman"/>
          <w:bCs/>
          <w:sz w:val="22"/>
          <w:szCs w:val="22"/>
        </w:rPr>
      </w:pPr>
    </w:p>
    <w:p w14:paraId="5944037A" w14:textId="7992BD60" w:rsidR="00045FF9" w:rsidRPr="0014137C" w:rsidRDefault="00973DEC" w:rsidP="00045FF9">
      <w:pPr>
        <w:pStyle w:val="Heading1"/>
        <w:numPr>
          <w:ilvl w:val="0"/>
          <w:numId w:val="1"/>
        </w:numPr>
        <w:tabs>
          <w:tab w:val="left" w:pos="859"/>
          <w:tab w:val="left" w:pos="860"/>
        </w:tabs>
        <w:ind w:left="0" w:firstLine="0"/>
        <w:contextualSpacing/>
        <w:jc w:val="both"/>
        <w:rPr>
          <w:rFonts w:ascii="Times New Roman" w:hAnsi="Times New Roman" w:cs="Times New Roman"/>
          <w:sz w:val="22"/>
          <w:szCs w:val="22"/>
        </w:rPr>
      </w:pPr>
      <w:r w:rsidRPr="0014137C">
        <w:rPr>
          <w:rFonts w:ascii="Times New Roman" w:hAnsi="Times New Roman" w:cs="Times New Roman"/>
          <w:sz w:val="22"/>
          <w:szCs w:val="22"/>
        </w:rPr>
        <w:t>Procedures voor interne meldingen</w:t>
      </w:r>
    </w:p>
    <w:p w14:paraId="214645AD" w14:textId="77777777" w:rsidR="00045FF9" w:rsidRPr="0014137C" w:rsidRDefault="00045FF9" w:rsidP="00045FF9">
      <w:pPr>
        <w:pStyle w:val="Heading1"/>
        <w:tabs>
          <w:tab w:val="left" w:pos="859"/>
          <w:tab w:val="left" w:pos="860"/>
        </w:tabs>
        <w:ind w:left="0"/>
        <w:contextualSpacing/>
        <w:jc w:val="both"/>
        <w:rPr>
          <w:rFonts w:ascii="Times New Roman" w:hAnsi="Times New Roman" w:cs="Times New Roman"/>
          <w:b w:val="0"/>
          <w:bCs w:val="0"/>
          <w:sz w:val="22"/>
          <w:szCs w:val="22"/>
        </w:rPr>
      </w:pPr>
    </w:p>
    <w:p w14:paraId="1FEBB5F9" w14:textId="70262E23" w:rsidR="00045FF9" w:rsidRPr="0014137C" w:rsidRDefault="0007294D" w:rsidP="00045FF9">
      <w:pPr>
        <w:pStyle w:val="BodyText"/>
        <w:contextualSpacing/>
        <w:jc w:val="both"/>
        <w:rPr>
          <w:rFonts w:ascii="Times New Roman" w:hAnsi="Times New Roman" w:cs="Times New Roman"/>
          <w:spacing w:val="-4"/>
          <w:sz w:val="22"/>
          <w:szCs w:val="22"/>
        </w:rPr>
      </w:pPr>
      <w:r w:rsidRPr="0014137C">
        <w:rPr>
          <w:rFonts w:ascii="Times New Roman" w:hAnsi="Times New Roman" w:cs="Times New Roman"/>
          <w:spacing w:val="-4"/>
          <w:sz w:val="22"/>
          <w:szCs w:val="22"/>
        </w:rPr>
        <w:t xml:space="preserve">Spectrum Brands biedt een intern meldingskanaal voor Klokkenluiders dat vertrouwelijk en veilig </w:t>
      </w:r>
      <w:r w:rsidR="00FD7B2D" w:rsidRPr="0014137C">
        <w:rPr>
          <w:rFonts w:ascii="Times New Roman" w:hAnsi="Times New Roman" w:cs="Times New Roman"/>
          <w:spacing w:val="-4"/>
          <w:sz w:val="22"/>
          <w:szCs w:val="22"/>
        </w:rPr>
        <w:br/>
      </w:r>
      <w:r w:rsidRPr="0014137C">
        <w:rPr>
          <w:rFonts w:ascii="Times New Roman" w:hAnsi="Times New Roman" w:cs="Times New Roman"/>
          <w:spacing w:val="-4"/>
          <w:sz w:val="22"/>
          <w:szCs w:val="22"/>
        </w:rPr>
        <w:t xml:space="preserve">is en zowel schriftelijke als mondelinge melding van informatie betreffende een inbreuk </w:t>
      </w:r>
      <w:r w:rsidR="0014137C" w:rsidRPr="0014137C">
        <w:rPr>
          <w:rFonts w:ascii="Times New Roman" w:hAnsi="Times New Roman" w:cs="Times New Roman"/>
          <w:spacing w:val="-4"/>
          <w:sz w:val="22"/>
          <w:szCs w:val="22"/>
        </w:rPr>
        <w:br/>
      </w:r>
      <w:r w:rsidRPr="0014137C">
        <w:rPr>
          <w:rFonts w:ascii="Times New Roman" w:hAnsi="Times New Roman" w:cs="Times New Roman"/>
          <w:spacing w:val="-4"/>
          <w:sz w:val="22"/>
          <w:szCs w:val="22"/>
        </w:rPr>
        <w:t xml:space="preserve">mogelijk maakt. Er is een 24-uurs hulplijn beschikbaar op 1-866-384-4277, en een website, </w:t>
      </w:r>
      <w:hyperlink r:id="rId9" w:history="1">
        <w:r w:rsidRPr="0014137C">
          <w:rPr>
            <w:rStyle w:val="Hyperlink"/>
            <w:rFonts w:ascii="Times New Roman" w:hAnsi="Times New Roman" w:cs="Times New Roman"/>
            <w:spacing w:val="-4"/>
            <w:sz w:val="22"/>
            <w:szCs w:val="22"/>
          </w:rPr>
          <w:t>https://secure.ethicspoint.com/domain/media/en/gui/7424/index.html</w:t>
        </w:r>
      </w:hyperlink>
      <w:r w:rsidRPr="0014137C">
        <w:rPr>
          <w:rFonts w:ascii="Times New Roman" w:hAnsi="Times New Roman" w:cs="Times New Roman"/>
          <w:spacing w:val="-4"/>
          <w:sz w:val="22"/>
          <w:szCs w:val="22"/>
        </w:rPr>
        <w:t>. De persoon of personen die verantwoordelijk zijn voor het ontvangen van een melding van een Klokkenluider zullen binnen zeven (7) kalenderdagen na de ontvangst van de oorspronkelijke melding een ontvangstbevestiging van deze melding aan de Klokkenluider verstrekken.</w:t>
      </w:r>
    </w:p>
    <w:p w14:paraId="2191B3BB" w14:textId="6DA8D769" w:rsidR="00FD1805" w:rsidRPr="0014137C" w:rsidRDefault="00FD1805" w:rsidP="00045FF9">
      <w:pPr>
        <w:pStyle w:val="BodyText"/>
        <w:contextualSpacing/>
        <w:jc w:val="both"/>
        <w:rPr>
          <w:rFonts w:ascii="Times New Roman" w:hAnsi="Times New Roman" w:cs="Times New Roman"/>
          <w:spacing w:val="-4"/>
          <w:sz w:val="22"/>
          <w:szCs w:val="22"/>
        </w:rPr>
      </w:pPr>
    </w:p>
    <w:p w14:paraId="015CC61E" w14:textId="5396AABE" w:rsidR="00FD1805" w:rsidRPr="0014137C" w:rsidRDefault="00FD1805" w:rsidP="00045FF9">
      <w:pPr>
        <w:pStyle w:val="BodyText"/>
        <w:contextualSpacing/>
        <w:jc w:val="both"/>
        <w:rPr>
          <w:rFonts w:ascii="Times New Roman" w:hAnsi="Times New Roman" w:cs="Times New Roman"/>
          <w:spacing w:val="-4"/>
          <w:sz w:val="22"/>
          <w:szCs w:val="22"/>
        </w:rPr>
      </w:pPr>
      <w:r w:rsidRPr="0014137C">
        <w:rPr>
          <w:rFonts w:ascii="Times New Roman" w:hAnsi="Times New Roman" w:cs="Times New Roman"/>
          <w:spacing w:val="-4"/>
          <w:sz w:val="22"/>
          <w:szCs w:val="22"/>
        </w:rPr>
        <w:t>Een onpartijdige persoon of afdeling binnen Spectrum Brands (de "</w:t>
      </w:r>
      <w:r w:rsidRPr="0014137C">
        <w:rPr>
          <w:rFonts w:ascii="Times New Roman" w:hAnsi="Times New Roman" w:cs="Times New Roman"/>
          <w:spacing w:val="-4"/>
          <w:sz w:val="22"/>
          <w:szCs w:val="22"/>
          <w:u w:val="single"/>
        </w:rPr>
        <w:t>Onderzoeker</w:t>
      </w:r>
      <w:r w:rsidRPr="0014137C">
        <w:rPr>
          <w:rFonts w:ascii="Times New Roman" w:hAnsi="Times New Roman" w:cs="Times New Roman"/>
          <w:spacing w:val="-4"/>
          <w:sz w:val="22"/>
          <w:szCs w:val="22"/>
        </w:rPr>
        <w:t>") zal verantwoordelijk zijn voor de opvolging en het onderzoek van de melding, inclusief het inwinnen van verdere informatie en het geven van feedback aan de Klokkenluider. De Onderzoeker kan dezelfde persoon zijn of tot dezelfde dienst behoren bij wie de aanvankelijke melding werd gedaan.</w:t>
      </w:r>
    </w:p>
    <w:p w14:paraId="67FA50FD" w14:textId="0901F8D8" w:rsidR="00AB1C0F" w:rsidRPr="0014137C" w:rsidRDefault="00AB1C0F" w:rsidP="00045FF9">
      <w:pPr>
        <w:pStyle w:val="BodyText"/>
        <w:contextualSpacing/>
        <w:jc w:val="both"/>
        <w:rPr>
          <w:rFonts w:ascii="Times New Roman" w:hAnsi="Times New Roman" w:cs="Times New Roman"/>
          <w:spacing w:val="-4"/>
          <w:sz w:val="20"/>
          <w:szCs w:val="20"/>
        </w:rPr>
      </w:pPr>
    </w:p>
    <w:p w14:paraId="2BB41E68" w14:textId="0FC3D531" w:rsidR="00AB1C0F" w:rsidRPr="0014137C" w:rsidRDefault="00C808EC" w:rsidP="00045FF9">
      <w:pPr>
        <w:pStyle w:val="BodyText"/>
        <w:contextualSpacing/>
        <w:jc w:val="both"/>
        <w:rPr>
          <w:rFonts w:ascii="Times New Roman" w:hAnsi="Times New Roman" w:cs="Times New Roman"/>
          <w:spacing w:val="-4"/>
          <w:sz w:val="22"/>
          <w:szCs w:val="22"/>
        </w:rPr>
      </w:pPr>
      <w:r w:rsidRPr="0014137C">
        <w:rPr>
          <w:rFonts w:ascii="Times New Roman" w:hAnsi="Times New Roman" w:cs="Times New Roman"/>
          <w:spacing w:val="-4"/>
          <w:sz w:val="22"/>
          <w:szCs w:val="22"/>
        </w:rPr>
        <w:t>De Onderzoeker zal ijverig contact opnemen met de Klokkenluider om de ontvangst van de melding te bevestigen, maar in elk geval niet later dan zeven (7) dagen na ontvangst van de initiële melding. De Onderzoeker zal vervolgens met toewijding een grondig onderzoek instellen naar de beweringen en de informatie in de melding. Een dergelijk onderzoek kan onder meer inhouden dat met de Klokkenluider wordt gesproken en dat onafhankelijk wordt gewerkt om de beweringen in de melding te verifiëren. De Onderzoeker zal ook contact opnemen met de algemeen juridisch adviseur van Spectrum Brands of de door hem aangewezen persoon om hem in te lichten over de indiening van een melding, de stappen die zijn ondernomen en de status van het onderzoek.</w:t>
      </w:r>
    </w:p>
    <w:p w14:paraId="73FB9996" w14:textId="164006EE" w:rsidR="00BA0885" w:rsidRPr="0014137C" w:rsidRDefault="00BA0885" w:rsidP="00045FF9">
      <w:pPr>
        <w:pStyle w:val="BodyText"/>
        <w:contextualSpacing/>
        <w:jc w:val="both"/>
        <w:rPr>
          <w:rFonts w:ascii="Times New Roman" w:hAnsi="Times New Roman" w:cs="Times New Roman"/>
          <w:spacing w:val="-4"/>
          <w:sz w:val="20"/>
          <w:szCs w:val="20"/>
        </w:rPr>
      </w:pPr>
    </w:p>
    <w:p w14:paraId="4490A156" w14:textId="47C78FAC" w:rsidR="00045FF9" w:rsidRPr="0014137C" w:rsidRDefault="00B1349F" w:rsidP="004B33CA">
      <w:pPr>
        <w:pStyle w:val="BodyText"/>
        <w:contextualSpacing/>
        <w:jc w:val="both"/>
        <w:rPr>
          <w:rFonts w:ascii="Times New Roman" w:hAnsi="Times New Roman" w:cs="Times New Roman"/>
          <w:spacing w:val="-4"/>
          <w:sz w:val="22"/>
          <w:szCs w:val="22"/>
        </w:rPr>
      </w:pPr>
      <w:r w:rsidRPr="0014137C">
        <w:rPr>
          <w:rFonts w:ascii="Times New Roman" w:hAnsi="Times New Roman" w:cs="Times New Roman"/>
          <w:spacing w:val="-4"/>
          <w:sz w:val="22"/>
          <w:szCs w:val="22"/>
        </w:rPr>
        <w:t>Binnen een redelijke termijn, maar niet meer dan drie (3) maanden nadat de Onderzoeker de ontvangst van de melding heeft bevestigd, zal de Onderzoeker de Klokkenluider feedback geven over de resultaten van het onderzoek en de stappen die zijn of zullen worden ondernomen om een eventueel door het onderzoek bevestigde misstand te verhelpen.</w:t>
      </w:r>
    </w:p>
    <w:p w14:paraId="70A21D88" w14:textId="1653CBAB" w:rsidR="00471D64" w:rsidRPr="0014137C" w:rsidRDefault="00471D64" w:rsidP="004B33CA">
      <w:pPr>
        <w:pStyle w:val="BodyText"/>
        <w:contextualSpacing/>
        <w:jc w:val="both"/>
        <w:rPr>
          <w:rFonts w:ascii="Times New Roman" w:hAnsi="Times New Roman" w:cs="Times New Roman"/>
          <w:spacing w:val="-4"/>
          <w:sz w:val="20"/>
          <w:szCs w:val="20"/>
        </w:rPr>
      </w:pPr>
    </w:p>
    <w:p w14:paraId="27B909E8" w14:textId="45C01BB0" w:rsidR="00471D64" w:rsidRPr="0014137C" w:rsidRDefault="00471D64" w:rsidP="004B33CA">
      <w:pPr>
        <w:pStyle w:val="BodyText"/>
        <w:contextualSpacing/>
        <w:jc w:val="both"/>
        <w:rPr>
          <w:rFonts w:ascii="Times New Roman" w:hAnsi="Times New Roman" w:cs="Times New Roman"/>
          <w:spacing w:val="-4"/>
          <w:sz w:val="22"/>
          <w:szCs w:val="22"/>
        </w:rPr>
      </w:pPr>
      <w:r w:rsidRPr="0014137C">
        <w:rPr>
          <w:rFonts w:ascii="Times New Roman" w:hAnsi="Times New Roman" w:cs="Times New Roman"/>
          <w:spacing w:val="-4"/>
          <w:sz w:val="22"/>
          <w:szCs w:val="22"/>
        </w:rPr>
        <w:t xml:space="preserve">De identiteit, met inbegrip van informatie die de identiteit kan identificeren, van de Klokkenluider mag aan niemand anders dan de Onderzoeker worden bekendgemaakt zonder de uitdrukkelijke schriftelijke toestemming van de Klokkenluider, of tenzij dit vereist is om te voldoen aan de vereisten van de toepasselijke wetgeving of deze te onderzoeken.  De identiteit van de Klokkenluider mag alleen bekend worden gemaakt wanneer dit </w:t>
      </w:r>
      <w:r w:rsidRPr="0014137C">
        <w:rPr>
          <w:rFonts w:ascii="Times New Roman" w:hAnsi="Times New Roman" w:cs="Times New Roman"/>
          <w:spacing w:val="-4"/>
          <w:sz w:val="22"/>
          <w:szCs w:val="22"/>
        </w:rPr>
        <w:lastRenderedPageBreak/>
        <w:t>noodzakelijk is op grond van een wettelijke verplichting die is opgelegd door de EU-wetgeving of de wetgeving van een andere lidstaat, met inbegrip van bekendmaking die vereist is in het kader van een gerechtelijke procedure.</w:t>
      </w:r>
    </w:p>
    <w:p w14:paraId="7B8A494A" w14:textId="367A417A" w:rsidR="00045FF9" w:rsidRDefault="00045FF9" w:rsidP="00045FF9">
      <w:pPr>
        <w:pStyle w:val="BodyText"/>
        <w:contextualSpacing/>
        <w:jc w:val="both"/>
        <w:rPr>
          <w:rFonts w:ascii="Times New Roman" w:eastAsia="Times New Roman" w:hAnsi="Times New Roman" w:cs="Times New Roman"/>
          <w:spacing w:val="8"/>
          <w:sz w:val="22"/>
          <w:szCs w:val="22"/>
        </w:rPr>
      </w:pPr>
    </w:p>
    <w:p w14:paraId="032A8F0D" w14:textId="72802DE7" w:rsidR="00045FF9" w:rsidRPr="003A60D7" w:rsidRDefault="004B33CA" w:rsidP="00045FF9">
      <w:pPr>
        <w:pStyle w:val="Heading1"/>
        <w:numPr>
          <w:ilvl w:val="0"/>
          <w:numId w:val="1"/>
        </w:numPr>
        <w:tabs>
          <w:tab w:val="left" w:pos="859"/>
          <w:tab w:val="left" w:pos="860"/>
        </w:tabs>
        <w:ind w:left="0" w:firstLine="0"/>
        <w:contextualSpacing/>
        <w:jc w:val="both"/>
        <w:rPr>
          <w:rFonts w:ascii="Times New Roman" w:hAnsi="Times New Roman" w:cs="Times New Roman"/>
          <w:sz w:val="22"/>
          <w:szCs w:val="22"/>
        </w:rPr>
      </w:pPr>
      <w:r>
        <w:rPr>
          <w:rFonts w:ascii="Times New Roman" w:hAnsi="Times New Roman"/>
          <w:sz w:val="22"/>
          <w:szCs w:val="22"/>
        </w:rPr>
        <w:t>Externe meldingskanalen</w:t>
      </w:r>
    </w:p>
    <w:p w14:paraId="12BEA03F" w14:textId="77777777" w:rsidR="00045FF9" w:rsidRPr="003A60D7" w:rsidRDefault="00045FF9" w:rsidP="00045FF9">
      <w:pPr>
        <w:pStyle w:val="BodyText"/>
        <w:contextualSpacing/>
        <w:jc w:val="both"/>
        <w:rPr>
          <w:rFonts w:ascii="Times New Roman" w:eastAsia="Times New Roman" w:hAnsi="Times New Roman" w:cs="Times New Roman"/>
          <w:spacing w:val="8"/>
          <w:sz w:val="22"/>
          <w:szCs w:val="22"/>
        </w:rPr>
      </w:pPr>
    </w:p>
    <w:p w14:paraId="36163F0C" w14:textId="7C452F50" w:rsidR="00045FF9" w:rsidRPr="0014137C" w:rsidRDefault="003806A0" w:rsidP="00045FF9">
      <w:pPr>
        <w:pStyle w:val="BodyText"/>
        <w:contextualSpacing/>
        <w:jc w:val="both"/>
        <w:rPr>
          <w:rFonts w:ascii="Times New Roman" w:hAnsi="Times New Roman" w:cs="Times New Roman"/>
          <w:spacing w:val="-4"/>
          <w:sz w:val="22"/>
          <w:szCs w:val="22"/>
        </w:rPr>
      </w:pPr>
      <w:r w:rsidRPr="0014137C">
        <w:rPr>
          <w:rFonts w:ascii="Times New Roman" w:hAnsi="Times New Roman"/>
          <w:spacing w:val="-4"/>
          <w:sz w:val="22"/>
          <w:szCs w:val="22"/>
        </w:rPr>
        <w:t>De EU-lidstaten zijn krachtens de richtlijn verplicht hun eigen meldingskanalen voor inbreuken op de richtlijn</w:t>
      </w:r>
      <w:r w:rsidR="0014137C">
        <w:rPr>
          <w:rFonts w:ascii="Times New Roman" w:hAnsi="Times New Roman"/>
          <w:spacing w:val="-4"/>
          <w:sz w:val="22"/>
          <w:szCs w:val="22"/>
        </w:rPr>
        <w:t xml:space="preserve"> </w:t>
      </w:r>
      <w:r w:rsidRPr="0014137C">
        <w:rPr>
          <w:rFonts w:ascii="Times New Roman" w:hAnsi="Times New Roman"/>
          <w:spacing w:val="-4"/>
          <w:sz w:val="22"/>
          <w:szCs w:val="22"/>
        </w:rPr>
        <w:t>op te zetten.</w:t>
      </w:r>
      <w:r w:rsidR="0014137C">
        <w:rPr>
          <w:rFonts w:ascii="Times New Roman" w:hAnsi="Times New Roman"/>
          <w:spacing w:val="-4"/>
          <w:sz w:val="22"/>
          <w:szCs w:val="22"/>
        </w:rPr>
        <w:t xml:space="preserve"> </w:t>
      </w:r>
      <w:r w:rsidRPr="0014137C">
        <w:rPr>
          <w:rFonts w:ascii="Times New Roman" w:hAnsi="Times New Roman"/>
          <w:spacing w:val="-4"/>
          <w:sz w:val="22"/>
          <w:szCs w:val="22"/>
        </w:rPr>
        <w:t>Klokkenluiders kunnen ervoor kiezen zich via deze externe meldingskanalen te melden. De beschikbaarheid, het beleid en de procedures van deze externe meldingskanalen zullen variëren naargelang van de EU-lidstaat waar de klokkenluider zich bevindt.</w:t>
      </w:r>
    </w:p>
    <w:p w14:paraId="22B83920" w14:textId="10744CD5" w:rsidR="00026666" w:rsidRPr="0014137C" w:rsidRDefault="00026666" w:rsidP="00045FF9">
      <w:pPr>
        <w:pStyle w:val="BodyText"/>
        <w:contextualSpacing/>
        <w:jc w:val="both"/>
        <w:rPr>
          <w:rFonts w:ascii="Times New Roman" w:hAnsi="Times New Roman" w:cs="Times New Roman"/>
          <w:spacing w:val="-4"/>
          <w:sz w:val="18"/>
          <w:szCs w:val="18"/>
        </w:rPr>
      </w:pPr>
    </w:p>
    <w:p w14:paraId="58B43070" w14:textId="05351C42" w:rsidR="00026666" w:rsidRPr="0014137C" w:rsidRDefault="00026666" w:rsidP="00045FF9">
      <w:pPr>
        <w:pStyle w:val="BodyText"/>
        <w:contextualSpacing/>
        <w:jc w:val="both"/>
        <w:rPr>
          <w:rFonts w:ascii="Times New Roman" w:hAnsi="Times New Roman" w:cs="Times New Roman"/>
          <w:spacing w:val="-4"/>
          <w:sz w:val="22"/>
          <w:szCs w:val="22"/>
        </w:rPr>
      </w:pPr>
      <w:r w:rsidRPr="0014137C">
        <w:rPr>
          <w:rFonts w:ascii="Times New Roman" w:hAnsi="Times New Roman"/>
          <w:spacing w:val="-4"/>
          <w:sz w:val="22"/>
          <w:szCs w:val="22"/>
        </w:rPr>
        <w:t xml:space="preserve">Hoewel Klokkenluiders zowel via interne als externe meldingskanalen verslag kunnen uitbrengen, moedigt Spectrum Brands aan om eerst via interne meldingskanalen verslag uit te brengen, in overeenstemming met </w:t>
      </w:r>
      <w:r w:rsidR="0014137C">
        <w:rPr>
          <w:rFonts w:ascii="Times New Roman" w:hAnsi="Times New Roman"/>
          <w:spacing w:val="-4"/>
          <w:sz w:val="22"/>
          <w:szCs w:val="22"/>
        </w:rPr>
        <w:br/>
      </w:r>
      <w:r w:rsidRPr="0014137C">
        <w:rPr>
          <w:rFonts w:ascii="Times New Roman" w:hAnsi="Times New Roman"/>
          <w:spacing w:val="-4"/>
          <w:sz w:val="22"/>
          <w:szCs w:val="22"/>
        </w:rPr>
        <w:t>dit Beleid.</w:t>
      </w:r>
    </w:p>
    <w:p w14:paraId="0E7D75A5" w14:textId="77777777" w:rsidR="00045FF9" w:rsidRPr="003A60D7" w:rsidRDefault="00045FF9" w:rsidP="00045FF9">
      <w:pPr>
        <w:pStyle w:val="BodyText"/>
        <w:contextualSpacing/>
        <w:jc w:val="both"/>
        <w:rPr>
          <w:rFonts w:ascii="Times New Roman" w:hAnsi="Times New Roman" w:cs="Times New Roman"/>
          <w:sz w:val="22"/>
          <w:szCs w:val="22"/>
        </w:rPr>
      </w:pPr>
    </w:p>
    <w:p w14:paraId="54A72783" w14:textId="60B1136B" w:rsidR="00BF79DE" w:rsidRPr="00764232" w:rsidRDefault="00764232" w:rsidP="00DA0B59">
      <w:pPr>
        <w:pStyle w:val="BodyText"/>
        <w:numPr>
          <w:ilvl w:val="0"/>
          <w:numId w:val="1"/>
        </w:numPr>
        <w:ind w:left="720"/>
        <w:contextualSpacing/>
        <w:jc w:val="both"/>
        <w:rPr>
          <w:rFonts w:ascii="Times New Roman" w:hAnsi="Times New Roman" w:cs="Times New Roman"/>
          <w:sz w:val="22"/>
          <w:szCs w:val="22"/>
        </w:rPr>
      </w:pPr>
      <w:r>
        <w:rPr>
          <w:rFonts w:ascii="Times New Roman" w:hAnsi="Times New Roman"/>
          <w:b/>
          <w:bCs/>
          <w:sz w:val="22"/>
          <w:szCs w:val="22"/>
        </w:rPr>
        <w:t>Verbod op vergelding</w:t>
      </w:r>
    </w:p>
    <w:p w14:paraId="14D58889" w14:textId="68769165" w:rsidR="00764232" w:rsidRPr="0014137C" w:rsidRDefault="00764232" w:rsidP="00764232">
      <w:pPr>
        <w:pStyle w:val="BodyText"/>
        <w:contextualSpacing/>
        <w:jc w:val="both"/>
        <w:rPr>
          <w:rFonts w:ascii="Times New Roman" w:hAnsi="Times New Roman" w:cs="Times New Roman"/>
          <w:sz w:val="18"/>
          <w:szCs w:val="18"/>
        </w:rPr>
      </w:pPr>
    </w:p>
    <w:p w14:paraId="27B4B406" w14:textId="0950D8B3" w:rsidR="00764232" w:rsidRPr="0014137C" w:rsidRDefault="007F2295" w:rsidP="00764232">
      <w:pPr>
        <w:pStyle w:val="BodyText"/>
        <w:contextualSpacing/>
        <w:jc w:val="both"/>
        <w:rPr>
          <w:rFonts w:ascii="Times New Roman" w:hAnsi="Times New Roman" w:cs="Times New Roman"/>
          <w:spacing w:val="-4"/>
          <w:sz w:val="22"/>
          <w:szCs w:val="22"/>
        </w:rPr>
      </w:pPr>
      <w:r w:rsidRPr="0014137C">
        <w:rPr>
          <w:rFonts w:ascii="Times New Roman" w:hAnsi="Times New Roman"/>
          <w:spacing w:val="-4"/>
          <w:sz w:val="22"/>
          <w:szCs w:val="22"/>
        </w:rPr>
        <w:t>Onder geen enkele omstandigheid zal een Spectrum Brands-werknemer, aandeelhouder of iemand die namens Spectrum Brands werkt, op enigerlei wijze vergeldingsmaatregelen nemen tegen een Klokkenluider omdat deze een melding heeft gedaan. Dit omvat, maar is niet beperkt tot, de volgende acties: (i) schorsing, ontslag of een gelijkwaardige maatregel, (ii) demotie of het onthouden van promotie, (iii) overplaatsing van taken, verandering van werklocatie, loonsverlaging of verandering van werktijden, (iv) het onthouden van opleiding, (v) negatieve prestatiebeoordelingen of arbeidsreferenties, (vi) het opleggen van disciplinaire maatregelen of straffen, inclusief financiële straffen van welke aard dan ook, (vii) het intimideren, lastigvallen of verstoten van de Klokkenluider, (viii) het discrimineren van de Klokkenluider of hem oneerlijk behandelen ten opzichte van anderen die zich in dezelfde situatie bevinden, (ix) het niet omzetten van een tijdelijk contract in een vast contract wanneer de Klokkenluider een legitieme verwachting had van een vast dienstverband, (x) het niet verlengen of voortijdig beëindigen van een tijdelijk contract, (xi) het schaden van de reputatie van de Klokkenluider, hetzij op sociale media of anderszins, (xii) het op een zwarte lijst plaatsen van de Klokkenluider op grond van een (formele of informele) sectorale overeenkomst, (xiii) vroegtijdige beëindiging of annulering van een contract met de Klokkenluider of een gerelateerde entiteit, (xiv) annulering van licenties of vergunningen, (xv) het verwijzen van de Klokkenluider voor psychiatrische of medische hulp.</w:t>
      </w:r>
    </w:p>
    <w:p w14:paraId="56D0F959" w14:textId="29FAA7A5" w:rsidR="00764232" w:rsidRPr="0014137C" w:rsidRDefault="00764232" w:rsidP="00764232">
      <w:pPr>
        <w:pStyle w:val="BodyText"/>
        <w:contextualSpacing/>
        <w:jc w:val="both"/>
        <w:rPr>
          <w:rFonts w:ascii="Times New Roman" w:hAnsi="Times New Roman" w:cs="Times New Roman"/>
          <w:spacing w:val="-4"/>
          <w:sz w:val="18"/>
          <w:szCs w:val="18"/>
        </w:rPr>
      </w:pPr>
    </w:p>
    <w:p w14:paraId="0FFE3664" w14:textId="189078E0" w:rsidR="00764232" w:rsidRPr="0014137C" w:rsidRDefault="00B071E5" w:rsidP="00764232">
      <w:pPr>
        <w:pStyle w:val="BodyText"/>
        <w:contextualSpacing/>
        <w:jc w:val="both"/>
        <w:rPr>
          <w:rFonts w:ascii="Times New Roman" w:hAnsi="Times New Roman" w:cs="Times New Roman"/>
          <w:spacing w:val="-4"/>
          <w:sz w:val="22"/>
          <w:szCs w:val="22"/>
        </w:rPr>
      </w:pPr>
      <w:r w:rsidRPr="0014137C">
        <w:rPr>
          <w:rFonts w:ascii="Times New Roman" w:hAnsi="Times New Roman"/>
          <w:spacing w:val="-4"/>
          <w:sz w:val="22"/>
          <w:szCs w:val="22"/>
        </w:rPr>
        <w:t>Als iemand met de bevoegdheid om één van deze acties tegen een Klokkenluider te ondernemen, van mening is dat één van deze stappen passend is of tegen de Klokkenluider zou zijn ondernomen zonder dit Beleid, moet die persoon onmiddellijk contact opnemen met de Algemeen juridisch adviseur van Spectrum Brands of de door hem aangewezen persoon.</w:t>
      </w:r>
    </w:p>
    <w:p w14:paraId="19372C27" w14:textId="77777777" w:rsidR="00764232" w:rsidRPr="0014137C" w:rsidRDefault="00764232" w:rsidP="00764232">
      <w:pPr>
        <w:pStyle w:val="BodyText"/>
        <w:contextualSpacing/>
        <w:jc w:val="both"/>
        <w:rPr>
          <w:rFonts w:ascii="Times New Roman" w:hAnsi="Times New Roman" w:cs="Times New Roman"/>
          <w:sz w:val="18"/>
          <w:szCs w:val="18"/>
        </w:rPr>
      </w:pPr>
    </w:p>
    <w:tbl>
      <w:tblPr>
        <w:tblStyle w:val="TableGrid"/>
        <w:tblW w:w="9360" w:type="dxa"/>
        <w:tblInd w:w="108" w:type="dxa"/>
        <w:tblLook w:val="04A0" w:firstRow="1" w:lastRow="0" w:firstColumn="1" w:lastColumn="0" w:noHBand="0" w:noVBand="1"/>
      </w:tblPr>
      <w:tblGrid>
        <w:gridCol w:w="9360"/>
      </w:tblGrid>
      <w:tr w:rsidR="00045FF9" w:rsidRPr="00223647" w14:paraId="1F0E7676" w14:textId="77777777" w:rsidTr="009E7712">
        <w:tc>
          <w:tcPr>
            <w:tcW w:w="9360" w:type="dxa"/>
          </w:tcPr>
          <w:p w14:paraId="4008721C" w14:textId="0721F498" w:rsidR="00045FF9" w:rsidRPr="00F862D2" w:rsidRDefault="000871CB" w:rsidP="009E7712">
            <w:pPr>
              <w:pStyle w:val="BodyText"/>
              <w:spacing w:before="6"/>
              <w:contextualSpacing/>
              <w:rPr>
                <w:rFonts w:ascii="Times New Roman" w:hAnsi="Times New Roman" w:cs="Times New Roman"/>
                <w:b/>
                <w:sz w:val="22"/>
                <w:szCs w:val="22"/>
              </w:rPr>
            </w:pPr>
            <w:r>
              <w:rPr>
                <w:rFonts w:ascii="Times New Roman" w:hAnsi="Times New Roman"/>
                <w:b/>
                <w:sz w:val="22"/>
                <w:szCs w:val="22"/>
              </w:rPr>
              <w:t>Algemene regels voor de behandeling van meldingen en het gegevensbewaring</w:t>
            </w:r>
          </w:p>
        </w:tc>
      </w:tr>
    </w:tbl>
    <w:p w14:paraId="08E361FD" w14:textId="77777777" w:rsidR="00045FF9" w:rsidRPr="0014137C" w:rsidRDefault="00045FF9" w:rsidP="00045FF9">
      <w:pPr>
        <w:rPr>
          <w:rFonts w:ascii="Times New Roman" w:hAnsi="Times New Roman" w:cs="Times New Roman"/>
          <w:sz w:val="18"/>
          <w:szCs w:val="18"/>
        </w:rPr>
      </w:pPr>
    </w:p>
    <w:p w14:paraId="1632E793" w14:textId="29397A39" w:rsidR="00045FF9" w:rsidRPr="0014137C" w:rsidRDefault="00D6642E" w:rsidP="00045FF9">
      <w:pPr>
        <w:jc w:val="both"/>
        <w:rPr>
          <w:rFonts w:ascii="Times New Roman" w:hAnsi="Times New Roman" w:cs="Times New Roman"/>
          <w:spacing w:val="-4"/>
        </w:rPr>
      </w:pPr>
      <w:r w:rsidRPr="0014137C">
        <w:rPr>
          <w:rFonts w:ascii="Times New Roman" w:hAnsi="Times New Roman"/>
          <w:spacing w:val="-4"/>
        </w:rPr>
        <w:t>Alle persoonlijke informatie die de Klokkenluider identificeert of zou kunnen identificeren, moet worden behandeld in overeenstemming met de bepalingen van de Algemene Verordening Gegevensbescherming 2016/679, ook bekend als de AVG (GDPR). Persoonsgegevens die totaal irrelevant zijn voor onderzoeksverslagen worden niet verzameld en indien zij worden verzameld, worden zij gewist.</w:t>
      </w:r>
    </w:p>
    <w:p w14:paraId="429CE415" w14:textId="17E6C6A8" w:rsidR="0072233E" w:rsidRPr="0014137C" w:rsidRDefault="0072233E" w:rsidP="00045FF9">
      <w:pPr>
        <w:jc w:val="both"/>
        <w:rPr>
          <w:rFonts w:ascii="Times New Roman" w:hAnsi="Times New Roman" w:cs="Times New Roman"/>
          <w:spacing w:val="-4"/>
        </w:rPr>
      </w:pPr>
    </w:p>
    <w:p w14:paraId="39EAC2E0" w14:textId="7D248E07" w:rsidR="00045FF9" w:rsidRPr="0014137C" w:rsidRDefault="00F05EF4" w:rsidP="0014137C">
      <w:pPr>
        <w:jc w:val="both"/>
        <w:rPr>
          <w:rFonts w:ascii="Times New Roman" w:hAnsi="Times New Roman" w:cs="Times New Roman"/>
          <w:spacing w:val="-4"/>
        </w:rPr>
      </w:pPr>
      <w:r w:rsidRPr="0014137C">
        <w:rPr>
          <w:rFonts w:ascii="Times New Roman" w:hAnsi="Times New Roman"/>
          <w:spacing w:val="-4"/>
        </w:rPr>
        <w:t xml:space="preserve">Spectrum Brands bewaart de gegevens van elke ontvangen melding op vertrouwelijke en veilige wijze. Meldingen die redelijkerwijs het voorwerp van een gerechtelijke procedure kunnen worden, worden bewaard totdat de gerechtelijke procedure definitief is afgesloten of de verjaringstermijn is verstreken. Meldingen en bijbehorende dossiers die redelijkerwijs niet het onderwerp zijn van verdere juridische procedures, externe onderzoeken of andere meldingen, voor zover toegestaan op basis van de archiveringsvereisten van het bedrijf en de toepasselijke wettelijke verplichtingen, zullen na afloop van het onderzoek zonder onnodige vertraging worden vernietigd. </w:t>
      </w:r>
    </w:p>
    <w:tbl>
      <w:tblPr>
        <w:tblStyle w:val="TableGrid"/>
        <w:tblW w:w="9360" w:type="dxa"/>
        <w:tblInd w:w="108" w:type="dxa"/>
        <w:tblLook w:val="04A0" w:firstRow="1" w:lastRow="0" w:firstColumn="1" w:lastColumn="0" w:noHBand="0" w:noVBand="1"/>
      </w:tblPr>
      <w:tblGrid>
        <w:gridCol w:w="9360"/>
      </w:tblGrid>
      <w:tr w:rsidR="00045FF9" w:rsidRPr="0053710B" w14:paraId="67D8FB38" w14:textId="77777777" w:rsidTr="009E7712">
        <w:tc>
          <w:tcPr>
            <w:tcW w:w="9360" w:type="dxa"/>
          </w:tcPr>
          <w:p w14:paraId="7E42E85C" w14:textId="77777777" w:rsidR="00045FF9" w:rsidRPr="00F862D2" w:rsidRDefault="00045FF9" w:rsidP="009E7712">
            <w:pPr>
              <w:pStyle w:val="BodyText"/>
              <w:spacing w:before="6"/>
              <w:contextualSpacing/>
              <w:rPr>
                <w:rFonts w:ascii="Times New Roman" w:hAnsi="Times New Roman" w:cs="Times New Roman"/>
                <w:b/>
                <w:sz w:val="22"/>
                <w:szCs w:val="22"/>
              </w:rPr>
            </w:pPr>
            <w:bookmarkStart w:id="0" w:name="_Hlk68174472"/>
            <w:r>
              <w:rPr>
                <w:rFonts w:ascii="Times New Roman" w:hAnsi="Times New Roman"/>
                <w:b/>
                <w:sz w:val="22"/>
                <w:szCs w:val="22"/>
              </w:rPr>
              <w:lastRenderedPageBreak/>
              <w:t>Naleving van het beleid/Discipline bij overtredingen</w:t>
            </w:r>
          </w:p>
        </w:tc>
      </w:tr>
      <w:bookmarkEnd w:id="0"/>
    </w:tbl>
    <w:p w14:paraId="0A2A7F78" w14:textId="77777777" w:rsidR="00045FF9" w:rsidRPr="0053710B" w:rsidRDefault="00045FF9" w:rsidP="00045FF9">
      <w:pPr>
        <w:pStyle w:val="BodyText"/>
        <w:spacing w:before="6"/>
        <w:contextualSpacing/>
        <w:rPr>
          <w:rFonts w:ascii="Times New Roman" w:hAnsi="Times New Roman" w:cs="Times New Roman"/>
          <w:bCs/>
          <w:sz w:val="22"/>
          <w:szCs w:val="22"/>
        </w:rPr>
      </w:pPr>
    </w:p>
    <w:p w14:paraId="1B68D631" w14:textId="5157F5B7" w:rsidR="00045FF9" w:rsidRPr="00F862D2" w:rsidRDefault="00045FF9" w:rsidP="00045FF9">
      <w:pPr>
        <w:pStyle w:val="BodyText"/>
        <w:spacing w:before="1"/>
        <w:contextualSpacing/>
        <w:jc w:val="both"/>
        <w:rPr>
          <w:rFonts w:ascii="Times New Roman" w:hAnsi="Times New Roman" w:cs="Times New Roman"/>
          <w:sz w:val="22"/>
          <w:szCs w:val="22"/>
        </w:rPr>
      </w:pPr>
      <w:r>
        <w:rPr>
          <w:rFonts w:ascii="Times New Roman" w:hAnsi="Times New Roman"/>
          <w:sz w:val="22"/>
          <w:szCs w:val="22"/>
        </w:rPr>
        <w:t>Elke werknemer die dit beleid of een soortgelijk beleid van een andere werkgever overtreedt, kan worden onderworpen aan disciplinaire maatregelen, tot en met ontslag. Bovendien kunnen overtredingen van dit beleid ernstige gevolgen hebben, waaronder strafrechtelijke vervolging. Elke werknemer die zich zorgen maakt of problemen heeft met de naleving van dit beleid, moet onmiddellijk contact opnemen met het LRM alvorens verdere acties te ondernemen. Het LRM zal de situatie evalueren en beslissen welke corrigerende maatregelen eventueel nodig zijn.</w:t>
      </w:r>
    </w:p>
    <w:p w14:paraId="1FEDE71A" w14:textId="77777777" w:rsidR="00045FF9" w:rsidRPr="00F862D2" w:rsidRDefault="00045FF9" w:rsidP="00045FF9">
      <w:pPr>
        <w:pStyle w:val="BodyText"/>
        <w:spacing w:before="1"/>
        <w:contextualSpacing/>
        <w:jc w:val="both"/>
        <w:rPr>
          <w:rFonts w:ascii="Times New Roman" w:hAnsi="Times New Roman" w:cs="Times New Roman"/>
          <w:sz w:val="22"/>
          <w:szCs w:val="22"/>
        </w:rPr>
      </w:pPr>
    </w:p>
    <w:p w14:paraId="04C786FF" w14:textId="766B136A" w:rsidR="00045FF9" w:rsidRPr="00F862D2" w:rsidRDefault="00045FF9" w:rsidP="00045FF9">
      <w:pPr>
        <w:jc w:val="both"/>
        <w:rPr>
          <w:rFonts w:ascii="Times New Roman" w:hAnsi="Times New Roman" w:cs="Times New Roman"/>
          <w:i/>
        </w:rPr>
      </w:pPr>
      <w:r>
        <w:rPr>
          <w:rFonts w:ascii="Times New Roman" w:hAnsi="Times New Roman"/>
        </w:rPr>
        <w:t xml:space="preserve">Afwijkingen van dit Beleid zijn niet toegestaan zonder uitdrukkelijke en voorafgaande schriftelijke toestemming van de </w:t>
      </w:r>
      <w:bookmarkStart w:id="1" w:name="_Hlk96700489"/>
      <w:r>
        <w:rPr>
          <w:rFonts w:ascii="Times New Roman" w:hAnsi="Times New Roman"/>
        </w:rPr>
        <w:t>algemeen juridisch adviseur van Spectrum Brands</w:t>
      </w:r>
      <w:bookmarkEnd w:id="1"/>
      <w:r>
        <w:rPr>
          <w:rFonts w:ascii="Times New Roman" w:hAnsi="Times New Roman"/>
        </w:rPr>
        <w:t xml:space="preserve"> of de door hem aangewezen persoon. </w:t>
      </w:r>
    </w:p>
    <w:p w14:paraId="7592A11A" w14:textId="77777777" w:rsidR="00045FF9" w:rsidRPr="003A60D7" w:rsidRDefault="00045FF9" w:rsidP="00045FF9">
      <w:pPr>
        <w:pStyle w:val="BodyText"/>
        <w:spacing w:before="1"/>
        <w:contextualSpacing/>
        <w:jc w:val="both"/>
        <w:rPr>
          <w:rFonts w:ascii="Times New Roman" w:hAnsi="Times New Roman" w:cs="Times New Roman"/>
          <w:sz w:val="22"/>
          <w:szCs w:val="22"/>
        </w:rPr>
      </w:pPr>
    </w:p>
    <w:p w14:paraId="153B52B1" w14:textId="77777777" w:rsidR="00045FF9" w:rsidRPr="003A60D7" w:rsidRDefault="00045FF9" w:rsidP="00045FF9">
      <w:pPr>
        <w:pStyle w:val="BodyText"/>
        <w:contextualSpacing/>
        <w:rPr>
          <w:rFonts w:ascii="Times New Roman" w:hAnsi="Times New Roman" w:cs="Times New Roman"/>
          <w:sz w:val="22"/>
          <w:szCs w:val="22"/>
        </w:rPr>
      </w:pPr>
    </w:p>
    <w:tbl>
      <w:tblPr>
        <w:tblStyle w:val="TableGrid"/>
        <w:tblW w:w="9360" w:type="dxa"/>
        <w:tblInd w:w="108" w:type="dxa"/>
        <w:tblLook w:val="04A0" w:firstRow="1" w:lastRow="0" w:firstColumn="1" w:lastColumn="0" w:noHBand="0" w:noVBand="1"/>
      </w:tblPr>
      <w:tblGrid>
        <w:gridCol w:w="9360"/>
      </w:tblGrid>
      <w:tr w:rsidR="00045FF9" w:rsidRPr="003A60D7" w14:paraId="7093343D" w14:textId="77777777" w:rsidTr="009E7712">
        <w:tc>
          <w:tcPr>
            <w:tcW w:w="9360" w:type="dxa"/>
          </w:tcPr>
          <w:p w14:paraId="1FE007AD" w14:textId="77777777" w:rsidR="00045FF9" w:rsidRPr="003A60D7" w:rsidRDefault="00045FF9" w:rsidP="009E7712">
            <w:pPr>
              <w:pStyle w:val="BodyText"/>
              <w:contextualSpacing/>
              <w:rPr>
                <w:rFonts w:ascii="Times New Roman" w:hAnsi="Times New Roman" w:cs="Times New Roman"/>
                <w:b/>
                <w:bCs/>
                <w:sz w:val="22"/>
                <w:szCs w:val="22"/>
              </w:rPr>
            </w:pPr>
            <w:r>
              <w:rPr>
                <w:rFonts w:ascii="Times New Roman" w:hAnsi="Times New Roman"/>
                <w:b/>
                <w:bCs/>
                <w:sz w:val="22"/>
                <w:szCs w:val="22"/>
              </w:rPr>
              <w:t>Contactgegevens</w:t>
            </w:r>
          </w:p>
        </w:tc>
      </w:tr>
    </w:tbl>
    <w:p w14:paraId="5A47F16F" w14:textId="77777777" w:rsidR="00045FF9" w:rsidRPr="003A60D7" w:rsidRDefault="00045FF9" w:rsidP="00045FF9">
      <w:pPr>
        <w:pStyle w:val="BodyText"/>
        <w:contextualSpacing/>
        <w:rPr>
          <w:rFonts w:ascii="Times New Roman" w:hAnsi="Times New Roman" w:cs="Times New Roman"/>
          <w:sz w:val="22"/>
          <w:szCs w:val="22"/>
        </w:rPr>
      </w:pPr>
    </w:p>
    <w:p w14:paraId="1506111C" w14:textId="77777777" w:rsidR="00045FF9" w:rsidRPr="003A60D7" w:rsidRDefault="00045FF9" w:rsidP="00045FF9">
      <w:pPr>
        <w:pStyle w:val="Heading1"/>
        <w:spacing w:before="42" w:after="11"/>
        <w:ind w:left="0"/>
        <w:contextualSpacing/>
        <w:rPr>
          <w:rFonts w:ascii="Times New Roman" w:hAnsi="Times New Roman" w:cs="Times New Roman"/>
          <w:sz w:val="22"/>
          <w:szCs w:val="22"/>
        </w:rPr>
      </w:pPr>
      <w:r>
        <w:rPr>
          <w:rFonts w:ascii="Times New Roman" w:hAnsi="Times New Roman"/>
          <w:sz w:val="22"/>
          <w:szCs w:val="22"/>
        </w:rPr>
        <w:t>Contactgegevens</w:t>
      </w:r>
    </w:p>
    <w:p w14:paraId="24CB1439" w14:textId="77777777" w:rsidR="00045FF9" w:rsidRPr="003A60D7" w:rsidRDefault="00045FF9" w:rsidP="00045FF9">
      <w:pPr>
        <w:pStyle w:val="BodyText"/>
        <w:contextualSpacing/>
        <w:rPr>
          <w:rFonts w:ascii="Times New Roman" w:hAnsi="Times New Roman" w:cs="Times New Roman"/>
          <w:bCs/>
          <w:sz w:val="22"/>
          <w:szCs w:val="22"/>
        </w:rPr>
      </w:pPr>
      <w:r>
        <w:rPr>
          <w:rFonts w:ascii="Times New Roman" w:hAnsi="Times New Roman"/>
          <w:bCs/>
          <w:sz w:val="22"/>
          <w:szCs w:val="22"/>
        </w:rPr>
        <w:t>Spectrum Brands, Inc.</w:t>
      </w:r>
    </w:p>
    <w:p w14:paraId="1DD39943" w14:textId="77777777" w:rsidR="00045FF9" w:rsidRPr="003A60D7" w:rsidRDefault="00045FF9" w:rsidP="00045FF9">
      <w:pPr>
        <w:pStyle w:val="BodyText"/>
        <w:contextualSpacing/>
        <w:rPr>
          <w:rFonts w:ascii="Times New Roman" w:hAnsi="Times New Roman" w:cs="Times New Roman"/>
          <w:bCs/>
          <w:sz w:val="22"/>
          <w:szCs w:val="22"/>
        </w:rPr>
      </w:pPr>
      <w:r>
        <w:rPr>
          <w:rFonts w:ascii="Times New Roman" w:hAnsi="Times New Roman"/>
          <w:bCs/>
          <w:sz w:val="22"/>
          <w:szCs w:val="22"/>
        </w:rPr>
        <w:t>T.a.v.: General Counsel</w:t>
      </w:r>
    </w:p>
    <w:p w14:paraId="59AB6EEA" w14:textId="77777777" w:rsidR="00045FF9" w:rsidRPr="003A60D7" w:rsidRDefault="00045FF9" w:rsidP="00045FF9">
      <w:pPr>
        <w:pStyle w:val="BodyText"/>
        <w:contextualSpacing/>
        <w:rPr>
          <w:rFonts w:ascii="Times New Roman" w:hAnsi="Times New Roman" w:cs="Times New Roman"/>
          <w:bCs/>
          <w:sz w:val="22"/>
          <w:szCs w:val="22"/>
        </w:rPr>
      </w:pPr>
      <w:r>
        <w:rPr>
          <w:rFonts w:ascii="Times New Roman" w:hAnsi="Times New Roman"/>
          <w:bCs/>
          <w:sz w:val="22"/>
          <w:szCs w:val="22"/>
        </w:rPr>
        <w:t>3001 Deming Way</w:t>
      </w:r>
    </w:p>
    <w:p w14:paraId="20CADD1A" w14:textId="77777777" w:rsidR="00045FF9" w:rsidRPr="003A60D7" w:rsidRDefault="00045FF9" w:rsidP="00045FF9">
      <w:pPr>
        <w:pStyle w:val="BodyText"/>
        <w:contextualSpacing/>
        <w:rPr>
          <w:rFonts w:ascii="Times New Roman" w:hAnsi="Times New Roman" w:cs="Times New Roman"/>
          <w:bCs/>
          <w:sz w:val="22"/>
          <w:szCs w:val="22"/>
        </w:rPr>
      </w:pPr>
      <w:r>
        <w:rPr>
          <w:rFonts w:ascii="Times New Roman" w:hAnsi="Times New Roman"/>
          <w:bCs/>
          <w:sz w:val="22"/>
          <w:szCs w:val="22"/>
        </w:rPr>
        <w:t>Middleton, WI 53562</w:t>
      </w:r>
    </w:p>
    <w:p w14:paraId="2190FCF9" w14:textId="77777777" w:rsidR="00045FF9" w:rsidRPr="003A60D7" w:rsidRDefault="00045FF9" w:rsidP="00045FF9">
      <w:pPr>
        <w:pStyle w:val="BodyText"/>
        <w:contextualSpacing/>
        <w:rPr>
          <w:rFonts w:ascii="Times New Roman" w:hAnsi="Times New Roman" w:cs="Times New Roman"/>
          <w:bCs/>
          <w:sz w:val="22"/>
          <w:szCs w:val="22"/>
        </w:rPr>
      </w:pPr>
    </w:p>
    <w:tbl>
      <w:tblPr>
        <w:tblStyle w:val="TableGrid"/>
        <w:tblW w:w="9360" w:type="dxa"/>
        <w:tblInd w:w="108" w:type="dxa"/>
        <w:tblLook w:val="04A0" w:firstRow="1" w:lastRow="0" w:firstColumn="1" w:lastColumn="0" w:noHBand="0" w:noVBand="1"/>
      </w:tblPr>
      <w:tblGrid>
        <w:gridCol w:w="9360"/>
      </w:tblGrid>
      <w:tr w:rsidR="00045FF9" w:rsidRPr="003A60D7" w14:paraId="53C07DB3" w14:textId="77777777" w:rsidTr="009E7712">
        <w:tc>
          <w:tcPr>
            <w:tcW w:w="9360" w:type="dxa"/>
          </w:tcPr>
          <w:p w14:paraId="52459DB8" w14:textId="77777777" w:rsidR="00045FF9" w:rsidRPr="003A60D7" w:rsidRDefault="00045FF9" w:rsidP="009E7712">
            <w:pPr>
              <w:pStyle w:val="BodyText"/>
              <w:spacing w:before="4"/>
              <w:contextualSpacing/>
              <w:rPr>
                <w:rFonts w:ascii="Times New Roman" w:hAnsi="Times New Roman" w:cs="Times New Roman"/>
                <w:b/>
                <w:sz w:val="22"/>
                <w:szCs w:val="22"/>
              </w:rPr>
            </w:pPr>
            <w:r>
              <w:rPr>
                <w:rFonts w:ascii="Times New Roman" w:hAnsi="Times New Roman"/>
                <w:b/>
                <w:sz w:val="22"/>
                <w:szCs w:val="22"/>
              </w:rPr>
              <w:t>Gerelateerde informatie</w:t>
            </w:r>
          </w:p>
        </w:tc>
      </w:tr>
    </w:tbl>
    <w:p w14:paraId="1AA31E69" w14:textId="77777777" w:rsidR="00045FF9" w:rsidRPr="00883412" w:rsidRDefault="00045FF9" w:rsidP="00045FF9">
      <w:pPr>
        <w:spacing w:before="226"/>
        <w:contextualSpacing/>
        <w:rPr>
          <w:rFonts w:ascii="Times New Roman" w:hAnsi="Times New Roman" w:cs="Times New Roman"/>
          <w:bCs/>
          <w:w w:val="105"/>
        </w:rPr>
      </w:pPr>
    </w:p>
    <w:p w14:paraId="7ED26893" w14:textId="77777777" w:rsidR="00045FF9" w:rsidRPr="003A60D7" w:rsidRDefault="00045FF9" w:rsidP="00045FF9">
      <w:pPr>
        <w:spacing w:before="226"/>
        <w:contextualSpacing/>
        <w:rPr>
          <w:rFonts w:ascii="Times New Roman" w:hAnsi="Times New Roman" w:cs="Times New Roman"/>
          <w:b/>
        </w:rPr>
      </w:pPr>
      <w:r>
        <w:rPr>
          <w:rFonts w:ascii="Times New Roman" w:hAnsi="Times New Roman"/>
          <w:b/>
        </w:rPr>
        <w:t>Documenten van Spectrum Brands:</w:t>
      </w:r>
    </w:p>
    <w:p w14:paraId="6902C5B6" w14:textId="77777777" w:rsidR="00045FF9" w:rsidRDefault="00045FF9" w:rsidP="00045FF9">
      <w:pPr>
        <w:pStyle w:val="PolicyInfotext"/>
        <w:rPr>
          <w:sz w:val="24"/>
          <w:szCs w:val="24"/>
        </w:rPr>
      </w:pPr>
      <w:r>
        <w:rPr>
          <w:sz w:val="24"/>
          <w:szCs w:val="24"/>
        </w:rPr>
        <w:t xml:space="preserve">Gedrags- en ethische code </w:t>
      </w:r>
    </w:p>
    <w:p w14:paraId="2A67D021" w14:textId="77777777" w:rsidR="00045FF9" w:rsidRPr="00342B45" w:rsidRDefault="00045FF9" w:rsidP="00045FF9">
      <w:pPr>
        <w:pStyle w:val="PolicyInfotext"/>
        <w:rPr>
          <w:sz w:val="24"/>
          <w:szCs w:val="24"/>
        </w:rPr>
      </w:pPr>
      <w:r>
        <w:rPr>
          <w:sz w:val="24"/>
          <w:szCs w:val="24"/>
        </w:rPr>
        <w:t xml:space="preserve">Gedragscode voor leveranciers </w:t>
      </w:r>
    </w:p>
    <w:p w14:paraId="6BA842E0" w14:textId="77777777" w:rsidR="00045FF9" w:rsidRPr="003A60D7" w:rsidRDefault="00045FF9" w:rsidP="00045FF9">
      <w:pPr>
        <w:spacing w:before="99"/>
        <w:contextualSpacing/>
        <w:rPr>
          <w:rFonts w:ascii="Times New Roman" w:hAnsi="Times New Roman" w:cs="Times New Roman"/>
          <w:b/>
        </w:rPr>
      </w:pPr>
      <w:r>
        <w:rPr>
          <w:rFonts w:ascii="Times New Roman" w:hAnsi="Times New Roman"/>
          <w:b/>
        </w:rPr>
        <w:t>Andere documenten:</w:t>
      </w:r>
    </w:p>
    <w:p w14:paraId="311A70C1" w14:textId="77777777" w:rsidR="00045FF9" w:rsidRPr="003A60D7" w:rsidRDefault="00045FF9" w:rsidP="00045FF9">
      <w:pPr>
        <w:spacing w:before="13"/>
        <w:contextualSpacing/>
        <w:rPr>
          <w:rFonts w:ascii="Times New Roman" w:hAnsi="Times New Roman" w:cs="Times New Roman"/>
        </w:rPr>
      </w:pPr>
      <w:r>
        <w:rPr>
          <w:rFonts w:ascii="Times New Roman" w:hAnsi="Times New Roman"/>
        </w:rPr>
        <w:t>Geen</w:t>
      </w:r>
    </w:p>
    <w:p w14:paraId="5E646CCF" w14:textId="77777777" w:rsidR="00045FF9" w:rsidRPr="003A60D7" w:rsidRDefault="00045FF9" w:rsidP="00045FF9">
      <w:pPr>
        <w:spacing w:before="100"/>
        <w:contextualSpacing/>
        <w:rPr>
          <w:rFonts w:ascii="Times New Roman" w:hAnsi="Times New Roman" w:cs="Times New Roman"/>
          <w:b/>
        </w:rPr>
      </w:pPr>
      <w:r>
        <w:rPr>
          <w:rFonts w:ascii="Times New Roman" w:hAnsi="Times New Roman"/>
          <w:b/>
        </w:rPr>
        <w:t>Gerelateerde links:</w:t>
      </w:r>
    </w:p>
    <w:p w14:paraId="4DAF3317" w14:textId="77777777" w:rsidR="00045FF9" w:rsidRPr="003A60D7" w:rsidRDefault="00045FF9" w:rsidP="00045FF9">
      <w:pPr>
        <w:spacing w:before="13"/>
        <w:contextualSpacing/>
        <w:rPr>
          <w:rFonts w:ascii="Times New Roman" w:hAnsi="Times New Roman" w:cs="Times New Roman"/>
          <w:w w:val="110"/>
        </w:rPr>
      </w:pPr>
      <w:r>
        <w:rPr>
          <w:rFonts w:ascii="Times New Roman" w:hAnsi="Times New Roman"/>
        </w:rPr>
        <w:t>Geen</w:t>
      </w:r>
    </w:p>
    <w:p w14:paraId="5547D6CA" w14:textId="77777777" w:rsidR="00045FF9" w:rsidRPr="003A60D7" w:rsidRDefault="00045FF9" w:rsidP="00045FF9">
      <w:pPr>
        <w:spacing w:before="13"/>
        <w:contextualSpacing/>
        <w:rPr>
          <w:rFonts w:ascii="Times New Roman" w:hAnsi="Times New Roman" w:cs="Times New Roman"/>
          <w:w w:val="110"/>
        </w:rPr>
      </w:pPr>
    </w:p>
    <w:tbl>
      <w:tblPr>
        <w:tblStyle w:val="TableGrid"/>
        <w:tblW w:w="9360" w:type="dxa"/>
        <w:tblInd w:w="108" w:type="dxa"/>
        <w:tblLook w:val="04A0" w:firstRow="1" w:lastRow="0" w:firstColumn="1" w:lastColumn="0" w:noHBand="0" w:noVBand="1"/>
      </w:tblPr>
      <w:tblGrid>
        <w:gridCol w:w="9360"/>
      </w:tblGrid>
      <w:tr w:rsidR="00045FF9" w:rsidRPr="003A60D7" w14:paraId="0BA723E3" w14:textId="77777777" w:rsidTr="009E7712">
        <w:tc>
          <w:tcPr>
            <w:tcW w:w="9360" w:type="dxa"/>
          </w:tcPr>
          <w:p w14:paraId="4007F0A1" w14:textId="77777777" w:rsidR="00045FF9" w:rsidRPr="003A60D7" w:rsidRDefault="00045FF9" w:rsidP="009E7712">
            <w:pPr>
              <w:spacing w:before="13"/>
              <w:contextualSpacing/>
              <w:rPr>
                <w:rFonts w:ascii="Times New Roman" w:hAnsi="Times New Roman" w:cs="Times New Roman"/>
                <w:b/>
                <w:bCs/>
                <w:w w:val="110"/>
              </w:rPr>
            </w:pPr>
            <w:r>
              <w:rPr>
                <w:rFonts w:ascii="Times New Roman" w:hAnsi="Times New Roman"/>
                <w:b/>
                <w:bCs/>
              </w:rPr>
              <w:t>Geschiedenis van wijzigingen</w:t>
            </w:r>
          </w:p>
        </w:tc>
      </w:tr>
    </w:tbl>
    <w:p w14:paraId="26187550" w14:textId="77777777" w:rsidR="00045FF9" w:rsidRPr="003A60D7" w:rsidRDefault="00045FF9" w:rsidP="00045FF9">
      <w:pPr>
        <w:spacing w:before="13"/>
        <w:contextualSpacing/>
        <w:rPr>
          <w:rFonts w:ascii="Times New Roman" w:hAnsi="Times New Roman" w:cs="Times New Roman"/>
          <w:w w:val="105"/>
        </w:rPr>
      </w:pPr>
    </w:p>
    <w:p w14:paraId="13593A3C" w14:textId="4B8B22DC" w:rsidR="00045FF9" w:rsidRPr="003A60D7" w:rsidRDefault="00DA0B59" w:rsidP="00045FF9">
      <w:pPr>
        <w:tabs>
          <w:tab w:val="left" w:pos="2332"/>
        </w:tabs>
        <w:spacing w:before="103"/>
        <w:contextualSpacing/>
        <w:rPr>
          <w:rFonts w:ascii="Times New Roman" w:hAnsi="Times New Roman" w:cs="Times New Roman"/>
          <w:w w:val="105"/>
        </w:rPr>
      </w:pPr>
      <w:r>
        <w:rPr>
          <w:rFonts w:ascii="Times New Roman" w:hAnsi="Times New Roman"/>
          <w:b/>
        </w:rPr>
        <w:t>Augustus 2022</w:t>
      </w:r>
      <w:r>
        <w:rPr>
          <w:rFonts w:ascii="Times New Roman" w:hAnsi="Times New Roman"/>
        </w:rPr>
        <w:tab/>
        <w:t>Opstelling van beleid voor herziening en goedkeuring.</w:t>
      </w:r>
    </w:p>
    <w:p w14:paraId="30F15AD1" w14:textId="77777777" w:rsidR="00045FF9" w:rsidRPr="00883412" w:rsidRDefault="00045FF9" w:rsidP="00045FF9">
      <w:pPr>
        <w:pStyle w:val="BodyText"/>
        <w:tabs>
          <w:tab w:val="left" w:pos="2340"/>
        </w:tabs>
        <w:contextualSpacing/>
        <w:rPr>
          <w:rFonts w:ascii="Times New Roman" w:hAnsi="Times New Roman" w:cs="Times New Roman"/>
          <w:bCs/>
          <w:sz w:val="22"/>
          <w:szCs w:val="22"/>
        </w:rPr>
      </w:pPr>
    </w:p>
    <w:tbl>
      <w:tblPr>
        <w:tblStyle w:val="TableGrid"/>
        <w:tblW w:w="0" w:type="auto"/>
        <w:tblInd w:w="108" w:type="dxa"/>
        <w:tblLook w:val="04A0" w:firstRow="1" w:lastRow="0" w:firstColumn="1" w:lastColumn="0" w:noHBand="0" w:noVBand="1"/>
      </w:tblPr>
      <w:tblGrid>
        <w:gridCol w:w="9242"/>
      </w:tblGrid>
      <w:tr w:rsidR="00045FF9" w:rsidRPr="003A60D7" w14:paraId="4B72894C" w14:textId="77777777" w:rsidTr="009E7712">
        <w:tc>
          <w:tcPr>
            <w:tcW w:w="9360" w:type="dxa"/>
          </w:tcPr>
          <w:p w14:paraId="3635DD2B" w14:textId="77777777" w:rsidR="00045FF9" w:rsidRPr="003A60D7" w:rsidRDefault="00045FF9" w:rsidP="009E7712">
            <w:pPr>
              <w:pStyle w:val="BodyText"/>
              <w:spacing w:before="6"/>
              <w:contextualSpacing/>
              <w:rPr>
                <w:rFonts w:ascii="Times New Roman" w:hAnsi="Times New Roman" w:cs="Times New Roman"/>
                <w:bCs/>
                <w:sz w:val="22"/>
                <w:szCs w:val="22"/>
              </w:rPr>
            </w:pPr>
            <w:r>
              <w:rPr>
                <w:rFonts w:ascii="Times New Roman" w:hAnsi="Times New Roman"/>
                <w:b/>
                <w:sz w:val="22"/>
                <w:szCs w:val="22"/>
              </w:rPr>
              <w:t>Verantwoordelijke bestuurder</w:t>
            </w:r>
          </w:p>
        </w:tc>
      </w:tr>
    </w:tbl>
    <w:p w14:paraId="4D3DA3B1" w14:textId="77777777" w:rsidR="00045FF9" w:rsidRPr="003A60D7" w:rsidRDefault="00045FF9" w:rsidP="00045FF9">
      <w:pPr>
        <w:pStyle w:val="BodyText"/>
        <w:spacing w:before="6"/>
        <w:contextualSpacing/>
        <w:rPr>
          <w:rFonts w:ascii="Times New Roman" w:hAnsi="Times New Roman" w:cs="Times New Roman"/>
          <w:bCs/>
          <w:sz w:val="22"/>
          <w:szCs w:val="22"/>
        </w:rPr>
      </w:pPr>
    </w:p>
    <w:p w14:paraId="50BDA30D" w14:textId="31267DF8" w:rsidR="00045FF9" w:rsidRDefault="00045FF9" w:rsidP="00045FF9">
      <w:pPr>
        <w:pStyle w:val="BodyText"/>
        <w:spacing w:before="6"/>
        <w:contextualSpacing/>
        <w:rPr>
          <w:rFonts w:ascii="Times New Roman" w:hAnsi="Times New Roman" w:cs="Times New Roman"/>
          <w:bCs/>
          <w:sz w:val="22"/>
          <w:szCs w:val="22"/>
        </w:rPr>
      </w:pPr>
    </w:p>
    <w:p w14:paraId="4A621B67" w14:textId="19E6EF13" w:rsidR="00981A57" w:rsidRPr="003A60D7" w:rsidRDefault="003041AA" w:rsidP="00045FF9">
      <w:pPr>
        <w:pStyle w:val="BodyText"/>
        <w:spacing w:before="6"/>
        <w:contextualSpacing/>
        <w:rPr>
          <w:rFonts w:ascii="Times New Roman" w:hAnsi="Times New Roman" w:cs="Times New Roman"/>
          <w:bCs/>
          <w:sz w:val="22"/>
          <w:szCs w:val="22"/>
        </w:rPr>
      </w:pPr>
      <w:r>
        <w:rPr>
          <w:noProof/>
        </w:rPr>
        <w:drawing>
          <wp:inline distT="0" distB="0" distL="0" distR="0" wp14:anchorId="09719AAC" wp14:editId="664762F7">
            <wp:extent cx="1819275" cy="638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819275" cy="638175"/>
                    </a:xfrm>
                    <a:prstGeom prst="rect">
                      <a:avLst/>
                    </a:prstGeom>
                    <a:noFill/>
                    <a:ln>
                      <a:noFill/>
                    </a:ln>
                  </pic:spPr>
                </pic:pic>
              </a:graphicData>
            </a:graphic>
          </wp:inline>
        </w:drawing>
      </w:r>
    </w:p>
    <w:p w14:paraId="16251D31" w14:textId="77777777" w:rsidR="00045FF9" w:rsidRPr="003A60D7" w:rsidRDefault="00045FF9" w:rsidP="00045FF9">
      <w:pPr>
        <w:pStyle w:val="BodyText"/>
        <w:spacing w:before="5"/>
        <w:contextualSpacing/>
        <w:rPr>
          <w:rFonts w:ascii="Times New Roman" w:hAnsi="Times New Roman" w:cs="Times New Roman"/>
          <w:b/>
          <w:sz w:val="22"/>
          <w:szCs w:val="22"/>
          <w:u w:val="single"/>
        </w:rPr>
      </w:pP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r>
        <w:rPr>
          <w:rFonts w:ascii="Times New Roman" w:hAnsi="Times New Roman"/>
          <w:b/>
          <w:sz w:val="22"/>
          <w:szCs w:val="22"/>
          <w:u w:val="single"/>
        </w:rPr>
        <w:tab/>
      </w:r>
    </w:p>
    <w:p w14:paraId="28DD90C2" w14:textId="77777777" w:rsidR="00045FF9" w:rsidRPr="003A60D7" w:rsidRDefault="00045FF9" w:rsidP="00045FF9">
      <w:pPr>
        <w:pStyle w:val="BodyText"/>
        <w:spacing w:before="5"/>
        <w:contextualSpacing/>
        <w:rPr>
          <w:rFonts w:ascii="Times New Roman" w:hAnsi="Times New Roman" w:cs="Times New Roman"/>
          <w:bCs/>
          <w:sz w:val="22"/>
          <w:szCs w:val="22"/>
        </w:rPr>
      </w:pPr>
      <w:r>
        <w:rPr>
          <w:rFonts w:ascii="Times New Roman" w:hAnsi="Times New Roman"/>
          <w:bCs/>
          <w:sz w:val="22"/>
          <w:szCs w:val="22"/>
        </w:rPr>
        <w:t>Ehsan Zargar</w:t>
      </w:r>
    </w:p>
    <w:p w14:paraId="2B071756" w14:textId="042194B8" w:rsidR="001D00FE" w:rsidRPr="000007CD" w:rsidRDefault="00045FF9" w:rsidP="000007CD">
      <w:pPr>
        <w:pStyle w:val="BodyText"/>
        <w:spacing w:before="5"/>
        <w:contextualSpacing/>
        <w:rPr>
          <w:rFonts w:ascii="Times New Roman" w:hAnsi="Times New Roman" w:cs="Times New Roman"/>
          <w:bCs/>
          <w:sz w:val="22"/>
          <w:szCs w:val="22"/>
        </w:rPr>
      </w:pPr>
      <w:r>
        <w:rPr>
          <w:rFonts w:ascii="Times New Roman" w:hAnsi="Times New Roman"/>
          <w:bCs/>
          <w:sz w:val="22"/>
          <w:szCs w:val="22"/>
        </w:rPr>
        <w:t>Executive Vice President, Directeur Juridische Zaken &amp; Secretaris-Generaal</w:t>
      </w:r>
    </w:p>
    <w:sectPr w:rsidR="001D00FE" w:rsidRPr="000007CD" w:rsidSect="003B5E8F">
      <w:headerReference w:type="default" r:id="rId12"/>
      <w:footerReference w:type="default" r:id="rId13"/>
      <w:pgSz w:w="12240" w:h="15840"/>
      <w:pgMar w:top="1440" w:right="1440" w:bottom="1440" w:left="1440" w:header="0" w:footer="57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7CE882" w14:textId="77777777" w:rsidR="00903AC4" w:rsidRDefault="00903AC4">
      <w:r>
        <w:separator/>
      </w:r>
    </w:p>
  </w:endnote>
  <w:endnote w:type="continuationSeparator" w:id="0">
    <w:p w14:paraId="1086D2AD" w14:textId="77777777" w:rsidR="00903AC4" w:rsidRDefault="00903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0616832"/>
      <w:docPartObj>
        <w:docPartGallery w:val="Page Numbers (Bottom of Page)"/>
        <w:docPartUnique/>
      </w:docPartObj>
    </w:sdtPr>
    <w:sdtEndPr>
      <w:rPr>
        <w:noProof/>
      </w:rPr>
    </w:sdtEndPr>
    <w:sdtContent>
      <w:p w14:paraId="64301770" w14:textId="77777777" w:rsidR="003B5E8F" w:rsidRDefault="005B496A">
        <w:pPr>
          <w:pStyle w:val="Footer"/>
          <w:jc w:val="center"/>
        </w:pPr>
        <w:r>
          <w:fldChar w:fldCharType="begin"/>
        </w:r>
        <w:r>
          <w:instrText xml:space="preserve"> PAGE   \* MERGEFORMAT </w:instrText>
        </w:r>
        <w:r>
          <w:fldChar w:fldCharType="separate"/>
        </w:r>
        <w:r>
          <w:t>2</w:t>
        </w:r>
        <w:r>
          <w:fldChar w:fldCharType="end"/>
        </w:r>
      </w:p>
    </w:sdtContent>
  </w:sdt>
  <w:p w14:paraId="24000A0B" w14:textId="77777777" w:rsidR="00FE1ABD" w:rsidRDefault="003041AA">
    <w:pPr>
      <w:pStyle w:val="BodyText"/>
      <w:spacing w:line="14" w:lineRule="auto"/>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09A532" w14:textId="77777777" w:rsidR="00903AC4" w:rsidRDefault="00903AC4">
      <w:r>
        <w:separator/>
      </w:r>
    </w:p>
  </w:footnote>
  <w:footnote w:type="continuationSeparator" w:id="0">
    <w:p w14:paraId="66718235" w14:textId="77777777" w:rsidR="00903AC4" w:rsidRDefault="00903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92CC8" w14:textId="77777777" w:rsidR="00FE1ABD" w:rsidRDefault="003041AA">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D065FB"/>
    <w:multiLevelType w:val="multilevel"/>
    <w:tmpl w:val="4590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3E73D2"/>
    <w:multiLevelType w:val="hybridMultilevel"/>
    <w:tmpl w:val="37786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2C4886"/>
    <w:multiLevelType w:val="hybridMultilevel"/>
    <w:tmpl w:val="602615BE"/>
    <w:lvl w:ilvl="0" w:tplc="D220B762">
      <w:start w:val="1"/>
      <w:numFmt w:val="upperRoman"/>
      <w:lvlText w:val="%1."/>
      <w:lvlJc w:val="left"/>
      <w:pPr>
        <w:ind w:left="860" w:hanging="720"/>
      </w:pPr>
      <w:rPr>
        <w:rFonts w:ascii="Garamond" w:eastAsia="Garamond" w:hAnsi="Garamond" w:cs="Garamond" w:hint="default"/>
        <w:b/>
        <w:bCs/>
        <w:spacing w:val="-1"/>
        <w:w w:val="100"/>
        <w:sz w:val="24"/>
        <w:szCs w:val="24"/>
      </w:rPr>
    </w:lvl>
    <w:lvl w:ilvl="1" w:tplc="04090015">
      <w:start w:val="1"/>
      <w:numFmt w:val="upperLetter"/>
      <w:lvlText w:val="%2."/>
      <w:lvlJc w:val="left"/>
      <w:pPr>
        <w:ind w:left="860" w:hanging="360"/>
      </w:pPr>
      <w:rPr>
        <w:rFonts w:hint="default"/>
        <w:w w:val="100"/>
        <w:sz w:val="24"/>
        <w:szCs w:val="24"/>
      </w:rPr>
    </w:lvl>
    <w:lvl w:ilvl="2" w:tplc="3530E2EC">
      <w:numFmt w:val="bullet"/>
      <w:lvlText w:val="•"/>
      <w:lvlJc w:val="left"/>
      <w:pPr>
        <w:ind w:left="2640" w:hanging="360"/>
      </w:pPr>
      <w:rPr>
        <w:rFonts w:hint="default"/>
      </w:rPr>
    </w:lvl>
    <w:lvl w:ilvl="3" w:tplc="0754868A">
      <w:numFmt w:val="bullet"/>
      <w:lvlText w:val="•"/>
      <w:lvlJc w:val="left"/>
      <w:pPr>
        <w:ind w:left="3530" w:hanging="360"/>
      </w:pPr>
      <w:rPr>
        <w:rFonts w:hint="default"/>
      </w:rPr>
    </w:lvl>
    <w:lvl w:ilvl="4" w:tplc="CE2A9F38">
      <w:numFmt w:val="bullet"/>
      <w:lvlText w:val="•"/>
      <w:lvlJc w:val="left"/>
      <w:pPr>
        <w:ind w:left="4420" w:hanging="360"/>
      </w:pPr>
      <w:rPr>
        <w:rFonts w:hint="default"/>
      </w:rPr>
    </w:lvl>
    <w:lvl w:ilvl="5" w:tplc="D160D686">
      <w:numFmt w:val="bullet"/>
      <w:lvlText w:val="•"/>
      <w:lvlJc w:val="left"/>
      <w:pPr>
        <w:ind w:left="5310" w:hanging="360"/>
      </w:pPr>
      <w:rPr>
        <w:rFonts w:hint="default"/>
      </w:rPr>
    </w:lvl>
    <w:lvl w:ilvl="6" w:tplc="5F92F242">
      <w:numFmt w:val="bullet"/>
      <w:lvlText w:val="•"/>
      <w:lvlJc w:val="left"/>
      <w:pPr>
        <w:ind w:left="6200" w:hanging="360"/>
      </w:pPr>
      <w:rPr>
        <w:rFonts w:hint="default"/>
      </w:rPr>
    </w:lvl>
    <w:lvl w:ilvl="7" w:tplc="8482031E">
      <w:numFmt w:val="bullet"/>
      <w:lvlText w:val="•"/>
      <w:lvlJc w:val="left"/>
      <w:pPr>
        <w:ind w:left="7090" w:hanging="360"/>
      </w:pPr>
      <w:rPr>
        <w:rFonts w:hint="default"/>
      </w:rPr>
    </w:lvl>
    <w:lvl w:ilvl="8" w:tplc="F1B43E34">
      <w:numFmt w:val="bullet"/>
      <w:lvlText w:val="•"/>
      <w:lvlJc w:val="left"/>
      <w:pPr>
        <w:ind w:left="7980" w:hanging="360"/>
      </w:pPr>
      <w:rPr>
        <w:rFonts w:hint="default"/>
      </w:rPr>
    </w:lvl>
  </w:abstractNum>
  <w:abstractNum w:abstractNumId="3" w15:restartNumberingAfterBreak="0">
    <w:nsid w:val="5D344B65"/>
    <w:multiLevelType w:val="multilevel"/>
    <w:tmpl w:val="5A7013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FF9"/>
    <w:rsid w:val="000007CD"/>
    <w:rsid w:val="0000542E"/>
    <w:rsid w:val="00026666"/>
    <w:rsid w:val="00045FF9"/>
    <w:rsid w:val="00061B30"/>
    <w:rsid w:val="00071E46"/>
    <w:rsid w:val="0007294D"/>
    <w:rsid w:val="000871CB"/>
    <w:rsid w:val="00087D6C"/>
    <w:rsid w:val="00095F22"/>
    <w:rsid w:val="00095FC2"/>
    <w:rsid w:val="000B28E6"/>
    <w:rsid w:val="001000A4"/>
    <w:rsid w:val="00106FF8"/>
    <w:rsid w:val="0014137C"/>
    <w:rsid w:val="00145C84"/>
    <w:rsid w:val="00181F9D"/>
    <w:rsid w:val="00185CE7"/>
    <w:rsid w:val="00192C07"/>
    <w:rsid w:val="001B23E8"/>
    <w:rsid w:val="001D00FE"/>
    <w:rsid w:val="001D0697"/>
    <w:rsid w:val="00205BA9"/>
    <w:rsid w:val="0021666A"/>
    <w:rsid w:val="00225F92"/>
    <w:rsid w:val="00235066"/>
    <w:rsid w:val="00246BF0"/>
    <w:rsid w:val="00271FF1"/>
    <w:rsid w:val="0027442C"/>
    <w:rsid w:val="00275DFF"/>
    <w:rsid w:val="00276D90"/>
    <w:rsid w:val="0029390E"/>
    <w:rsid w:val="00296C0C"/>
    <w:rsid w:val="002B6A88"/>
    <w:rsid w:val="002E38DD"/>
    <w:rsid w:val="002F3C58"/>
    <w:rsid w:val="003027E6"/>
    <w:rsid w:val="003041AA"/>
    <w:rsid w:val="00323CFF"/>
    <w:rsid w:val="003305A6"/>
    <w:rsid w:val="00340B0A"/>
    <w:rsid w:val="0034650C"/>
    <w:rsid w:val="00364D5F"/>
    <w:rsid w:val="00375E8E"/>
    <w:rsid w:val="003763E3"/>
    <w:rsid w:val="003806A0"/>
    <w:rsid w:val="003A4599"/>
    <w:rsid w:val="003B0C50"/>
    <w:rsid w:val="003F1CAD"/>
    <w:rsid w:val="003F7C8A"/>
    <w:rsid w:val="00402E0C"/>
    <w:rsid w:val="00431557"/>
    <w:rsid w:val="00463385"/>
    <w:rsid w:val="00466526"/>
    <w:rsid w:val="00471D64"/>
    <w:rsid w:val="0049237B"/>
    <w:rsid w:val="0049698C"/>
    <w:rsid w:val="004A02B6"/>
    <w:rsid w:val="004A1B58"/>
    <w:rsid w:val="004A2CC8"/>
    <w:rsid w:val="004B192C"/>
    <w:rsid w:val="004B33CA"/>
    <w:rsid w:val="004C7AA7"/>
    <w:rsid w:val="004E560D"/>
    <w:rsid w:val="004F5EF3"/>
    <w:rsid w:val="005034A4"/>
    <w:rsid w:val="00511540"/>
    <w:rsid w:val="00512EAE"/>
    <w:rsid w:val="0055212D"/>
    <w:rsid w:val="005537E4"/>
    <w:rsid w:val="005910FF"/>
    <w:rsid w:val="00593BA1"/>
    <w:rsid w:val="005B496A"/>
    <w:rsid w:val="005C1647"/>
    <w:rsid w:val="005E2DE1"/>
    <w:rsid w:val="00601626"/>
    <w:rsid w:val="00625FE6"/>
    <w:rsid w:val="00641B85"/>
    <w:rsid w:val="00654357"/>
    <w:rsid w:val="0066186C"/>
    <w:rsid w:val="00685AA5"/>
    <w:rsid w:val="00696C5A"/>
    <w:rsid w:val="006973C5"/>
    <w:rsid w:val="00697F1B"/>
    <w:rsid w:val="006B74AC"/>
    <w:rsid w:val="006D45EC"/>
    <w:rsid w:val="0071718E"/>
    <w:rsid w:val="0072233E"/>
    <w:rsid w:val="00726E41"/>
    <w:rsid w:val="0073115D"/>
    <w:rsid w:val="00753BC5"/>
    <w:rsid w:val="00764232"/>
    <w:rsid w:val="007C6042"/>
    <w:rsid w:val="007E5475"/>
    <w:rsid w:val="007F2295"/>
    <w:rsid w:val="007F2B2C"/>
    <w:rsid w:val="00804669"/>
    <w:rsid w:val="00836B1E"/>
    <w:rsid w:val="00836C1F"/>
    <w:rsid w:val="008650DF"/>
    <w:rsid w:val="00873FD3"/>
    <w:rsid w:val="00895FD3"/>
    <w:rsid w:val="008B2BC5"/>
    <w:rsid w:val="008C242B"/>
    <w:rsid w:val="008C3104"/>
    <w:rsid w:val="008D398E"/>
    <w:rsid w:val="00903AC4"/>
    <w:rsid w:val="00910009"/>
    <w:rsid w:val="00910216"/>
    <w:rsid w:val="00920674"/>
    <w:rsid w:val="00942058"/>
    <w:rsid w:val="00970613"/>
    <w:rsid w:val="00971A4F"/>
    <w:rsid w:val="00973DEC"/>
    <w:rsid w:val="00981A57"/>
    <w:rsid w:val="00986018"/>
    <w:rsid w:val="009B04D4"/>
    <w:rsid w:val="009B12B2"/>
    <w:rsid w:val="009C6AAE"/>
    <w:rsid w:val="009D78A0"/>
    <w:rsid w:val="009E3006"/>
    <w:rsid w:val="00A1022F"/>
    <w:rsid w:val="00A17C70"/>
    <w:rsid w:val="00A35CBA"/>
    <w:rsid w:val="00A36369"/>
    <w:rsid w:val="00A474CF"/>
    <w:rsid w:val="00A47C10"/>
    <w:rsid w:val="00A773C8"/>
    <w:rsid w:val="00A80235"/>
    <w:rsid w:val="00A8645B"/>
    <w:rsid w:val="00A87F1E"/>
    <w:rsid w:val="00A91B20"/>
    <w:rsid w:val="00A975C4"/>
    <w:rsid w:val="00AA7D80"/>
    <w:rsid w:val="00AB1C0F"/>
    <w:rsid w:val="00AD5947"/>
    <w:rsid w:val="00AD6846"/>
    <w:rsid w:val="00B0592A"/>
    <w:rsid w:val="00B0627B"/>
    <w:rsid w:val="00B071E5"/>
    <w:rsid w:val="00B1349F"/>
    <w:rsid w:val="00B36CAC"/>
    <w:rsid w:val="00B372EC"/>
    <w:rsid w:val="00B5092D"/>
    <w:rsid w:val="00B511D3"/>
    <w:rsid w:val="00B5742C"/>
    <w:rsid w:val="00B6650E"/>
    <w:rsid w:val="00B7529F"/>
    <w:rsid w:val="00B909DC"/>
    <w:rsid w:val="00B94D47"/>
    <w:rsid w:val="00B96879"/>
    <w:rsid w:val="00BA0885"/>
    <w:rsid w:val="00BB7828"/>
    <w:rsid w:val="00BC0826"/>
    <w:rsid w:val="00BF4C2D"/>
    <w:rsid w:val="00BF79DE"/>
    <w:rsid w:val="00C16830"/>
    <w:rsid w:val="00C662C3"/>
    <w:rsid w:val="00C71448"/>
    <w:rsid w:val="00C808EC"/>
    <w:rsid w:val="00CA2BEB"/>
    <w:rsid w:val="00CA63E4"/>
    <w:rsid w:val="00CB489B"/>
    <w:rsid w:val="00CD2632"/>
    <w:rsid w:val="00CD6326"/>
    <w:rsid w:val="00D00693"/>
    <w:rsid w:val="00D17FBD"/>
    <w:rsid w:val="00D4655F"/>
    <w:rsid w:val="00D54444"/>
    <w:rsid w:val="00D6642E"/>
    <w:rsid w:val="00DA0B59"/>
    <w:rsid w:val="00DB48C3"/>
    <w:rsid w:val="00DB7FE8"/>
    <w:rsid w:val="00DC0AEB"/>
    <w:rsid w:val="00DD14CC"/>
    <w:rsid w:val="00DD5047"/>
    <w:rsid w:val="00DE06F8"/>
    <w:rsid w:val="00DE2E3A"/>
    <w:rsid w:val="00DE4EF2"/>
    <w:rsid w:val="00DE5280"/>
    <w:rsid w:val="00E02DF7"/>
    <w:rsid w:val="00E159DD"/>
    <w:rsid w:val="00E35263"/>
    <w:rsid w:val="00E44382"/>
    <w:rsid w:val="00E46CFD"/>
    <w:rsid w:val="00E47999"/>
    <w:rsid w:val="00E66A16"/>
    <w:rsid w:val="00E82677"/>
    <w:rsid w:val="00EB2EAC"/>
    <w:rsid w:val="00EC4DB7"/>
    <w:rsid w:val="00ED175C"/>
    <w:rsid w:val="00ED5B92"/>
    <w:rsid w:val="00EF21C3"/>
    <w:rsid w:val="00F01F05"/>
    <w:rsid w:val="00F02382"/>
    <w:rsid w:val="00F05EF4"/>
    <w:rsid w:val="00F41D1C"/>
    <w:rsid w:val="00F45D10"/>
    <w:rsid w:val="00F6105E"/>
    <w:rsid w:val="00F806D9"/>
    <w:rsid w:val="00F8228D"/>
    <w:rsid w:val="00F85622"/>
    <w:rsid w:val="00F92B55"/>
    <w:rsid w:val="00FD1805"/>
    <w:rsid w:val="00FD5340"/>
    <w:rsid w:val="00FD7B2D"/>
    <w:rsid w:val="00FE38B8"/>
    <w:rsid w:val="00FE6C84"/>
    <w:rsid w:val="00FF79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542B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FF9"/>
    <w:pPr>
      <w:widowControl w:val="0"/>
      <w:autoSpaceDE w:val="0"/>
      <w:autoSpaceDN w:val="0"/>
      <w:spacing w:after="0" w:line="240" w:lineRule="auto"/>
    </w:pPr>
    <w:rPr>
      <w:rFonts w:ascii="Garamond" w:eastAsia="Garamond" w:hAnsi="Garamond" w:cs="Garamond"/>
    </w:rPr>
  </w:style>
  <w:style w:type="paragraph" w:styleId="Heading1">
    <w:name w:val="heading 1"/>
    <w:basedOn w:val="Normal"/>
    <w:link w:val="Heading1Char"/>
    <w:uiPriority w:val="9"/>
    <w:qFormat/>
    <w:rsid w:val="00045FF9"/>
    <w:pPr>
      <w:ind w:left="1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FF9"/>
    <w:rPr>
      <w:rFonts w:ascii="Garamond" w:eastAsia="Garamond" w:hAnsi="Garamond" w:cs="Garamond"/>
      <w:b/>
      <w:bCs/>
      <w:sz w:val="24"/>
      <w:szCs w:val="24"/>
    </w:rPr>
  </w:style>
  <w:style w:type="paragraph" w:styleId="BodyText">
    <w:name w:val="Body Text"/>
    <w:basedOn w:val="Normal"/>
    <w:link w:val="BodyTextChar"/>
    <w:uiPriority w:val="1"/>
    <w:qFormat/>
    <w:rsid w:val="00045FF9"/>
    <w:rPr>
      <w:sz w:val="24"/>
      <w:szCs w:val="24"/>
    </w:rPr>
  </w:style>
  <w:style w:type="character" w:customStyle="1" w:styleId="BodyTextChar">
    <w:name w:val="Body Text Char"/>
    <w:basedOn w:val="DefaultParagraphFont"/>
    <w:link w:val="BodyText"/>
    <w:uiPriority w:val="1"/>
    <w:rsid w:val="00045FF9"/>
    <w:rPr>
      <w:rFonts w:ascii="Garamond" w:eastAsia="Garamond" w:hAnsi="Garamond" w:cs="Garamond"/>
      <w:sz w:val="24"/>
      <w:szCs w:val="24"/>
    </w:rPr>
  </w:style>
  <w:style w:type="paragraph" w:styleId="Footer">
    <w:name w:val="footer"/>
    <w:basedOn w:val="Normal"/>
    <w:link w:val="FooterChar"/>
    <w:uiPriority w:val="99"/>
    <w:unhideWhenUsed/>
    <w:rsid w:val="00045FF9"/>
    <w:pPr>
      <w:tabs>
        <w:tab w:val="center" w:pos="4680"/>
        <w:tab w:val="right" w:pos="9360"/>
      </w:tabs>
    </w:pPr>
  </w:style>
  <w:style w:type="character" w:customStyle="1" w:styleId="FooterChar">
    <w:name w:val="Footer Char"/>
    <w:basedOn w:val="DefaultParagraphFont"/>
    <w:link w:val="Footer"/>
    <w:uiPriority w:val="99"/>
    <w:rsid w:val="00045FF9"/>
    <w:rPr>
      <w:rFonts w:ascii="Garamond" w:eastAsia="Garamond" w:hAnsi="Garamond" w:cs="Garamond"/>
    </w:rPr>
  </w:style>
  <w:style w:type="paragraph" w:styleId="NormalWeb">
    <w:name w:val="Normal (Web)"/>
    <w:basedOn w:val="Normal"/>
    <w:uiPriority w:val="99"/>
    <w:semiHidden/>
    <w:unhideWhenUsed/>
    <w:rsid w:val="00045FF9"/>
    <w:pPr>
      <w:widowControl/>
      <w:autoSpaceDE/>
      <w:autoSpaceDN/>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045FF9"/>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Infotext">
    <w:name w:val="Policy Info text"/>
    <w:basedOn w:val="Normal"/>
    <w:autoRedefine/>
    <w:rsid w:val="00045FF9"/>
    <w:pPr>
      <w:widowControl/>
      <w:autoSpaceDE/>
      <w:autoSpaceDN/>
      <w:ind w:left="180"/>
    </w:pPr>
    <w:rPr>
      <w:rFonts w:eastAsia="Times New Roman" w:cs="Times New Roman"/>
      <w:sz w:val="18"/>
      <w:szCs w:val="20"/>
    </w:rPr>
  </w:style>
  <w:style w:type="character" w:styleId="CommentReference">
    <w:name w:val="annotation reference"/>
    <w:basedOn w:val="DefaultParagraphFont"/>
    <w:uiPriority w:val="99"/>
    <w:semiHidden/>
    <w:unhideWhenUsed/>
    <w:rsid w:val="00045FF9"/>
    <w:rPr>
      <w:sz w:val="16"/>
      <w:szCs w:val="16"/>
    </w:rPr>
  </w:style>
  <w:style w:type="paragraph" w:styleId="CommentText">
    <w:name w:val="annotation text"/>
    <w:basedOn w:val="Normal"/>
    <w:link w:val="CommentTextChar"/>
    <w:uiPriority w:val="99"/>
    <w:semiHidden/>
    <w:unhideWhenUsed/>
    <w:rsid w:val="00045FF9"/>
    <w:rPr>
      <w:sz w:val="20"/>
      <w:szCs w:val="20"/>
    </w:rPr>
  </w:style>
  <w:style w:type="character" w:customStyle="1" w:styleId="CommentTextChar">
    <w:name w:val="Comment Text Char"/>
    <w:basedOn w:val="DefaultParagraphFont"/>
    <w:link w:val="CommentText"/>
    <w:uiPriority w:val="99"/>
    <w:semiHidden/>
    <w:rsid w:val="00045FF9"/>
    <w:rPr>
      <w:rFonts w:ascii="Garamond" w:eastAsia="Garamond" w:hAnsi="Garamond" w:cs="Garamond"/>
      <w:sz w:val="20"/>
      <w:szCs w:val="20"/>
    </w:rPr>
  </w:style>
  <w:style w:type="character" w:styleId="Hyperlink">
    <w:name w:val="Hyperlink"/>
    <w:basedOn w:val="DefaultParagraphFont"/>
    <w:uiPriority w:val="99"/>
    <w:unhideWhenUsed/>
    <w:rsid w:val="00045FF9"/>
    <w:rPr>
      <w:color w:val="0000FF"/>
      <w:u w:val="single"/>
    </w:rPr>
  </w:style>
  <w:style w:type="paragraph" w:styleId="CommentSubject">
    <w:name w:val="annotation subject"/>
    <w:basedOn w:val="CommentText"/>
    <w:next w:val="CommentText"/>
    <w:link w:val="CommentSubjectChar"/>
    <w:uiPriority w:val="99"/>
    <w:semiHidden/>
    <w:unhideWhenUsed/>
    <w:rsid w:val="00095FC2"/>
    <w:rPr>
      <w:b/>
      <w:bCs/>
    </w:rPr>
  </w:style>
  <w:style w:type="character" w:customStyle="1" w:styleId="CommentSubjectChar">
    <w:name w:val="Comment Subject Char"/>
    <w:basedOn w:val="CommentTextChar"/>
    <w:link w:val="CommentSubject"/>
    <w:uiPriority w:val="99"/>
    <w:semiHidden/>
    <w:rsid w:val="00095FC2"/>
    <w:rPr>
      <w:rFonts w:ascii="Garamond" w:eastAsia="Garamond" w:hAnsi="Garamond" w:cs="Garamond"/>
      <w:b/>
      <w:bCs/>
      <w:sz w:val="20"/>
      <w:szCs w:val="20"/>
    </w:rPr>
  </w:style>
  <w:style w:type="paragraph" w:styleId="Revision">
    <w:name w:val="Revision"/>
    <w:hidden/>
    <w:uiPriority w:val="99"/>
    <w:semiHidden/>
    <w:rsid w:val="0034650C"/>
    <w:pPr>
      <w:spacing w:after="0" w:line="240" w:lineRule="auto"/>
    </w:pPr>
    <w:rPr>
      <w:rFonts w:ascii="Garamond" w:eastAsia="Garamond" w:hAnsi="Garamond" w:cs="Garamond"/>
    </w:rPr>
  </w:style>
  <w:style w:type="paragraph" w:styleId="BalloonText">
    <w:name w:val="Balloon Text"/>
    <w:basedOn w:val="Normal"/>
    <w:link w:val="BalloonTextChar"/>
    <w:uiPriority w:val="99"/>
    <w:semiHidden/>
    <w:unhideWhenUsed/>
    <w:rsid w:val="00CA63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3E4"/>
    <w:rPr>
      <w:rFonts w:ascii="Segoe UI" w:eastAsia="Garamond" w:hAnsi="Segoe UI" w:cs="Segoe UI"/>
      <w:sz w:val="18"/>
      <w:szCs w:val="18"/>
    </w:rPr>
  </w:style>
  <w:style w:type="character" w:styleId="UnresolvedMention">
    <w:name w:val="Unresolved Mention"/>
    <w:basedOn w:val="DefaultParagraphFont"/>
    <w:uiPriority w:val="99"/>
    <w:semiHidden/>
    <w:unhideWhenUsed/>
    <w:rsid w:val="00C662C3"/>
    <w:rPr>
      <w:color w:val="605E5C"/>
      <w:shd w:val="clear" w:color="auto" w:fill="E1DFDD"/>
    </w:rPr>
  </w:style>
  <w:style w:type="paragraph" w:styleId="Header">
    <w:name w:val="header"/>
    <w:basedOn w:val="Normal"/>
    <w:link w:val="HeaderChar"/>
    <w:uiPriority w:val="99"/>
    <w:unhideWhenUsed/>
    <w:rsid w:val="00970613"/>
    <w:pPr>
      <w:tabs>
        <w:tab w:val="center" w:pos="4419"/>
        <w:tab w:val="right" w:pos="8838"/>
      </w:tabs>
    </w:pPr>
  </w:style>
  <w:style w:type="character" w:customStyle="1" w:styleId="HeaderChar">
    <w:name w:val="Header Char"/>
    <w:basedOn w:val="DefaultParagraphFont"/>
    <w:link w:val="Header"/>
    <w:uiPriority w:val="99"/>
    <w:rsid w:val="00970613"/>
    <w:rPr>
      <w:rFonts w:ascii="Garamond" w:eastAsia="Garamond" w:hAnsi="Garamond" w:cs="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57F85.A5D734E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secure.ethicspoint.com/domain/media/en/gui/7424/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DBA69-3A71-43D0-A19F-B325D8277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2017</Words>
  <Characters>10836</Characters>
  <Application>Microsoft Office Word</Application>
  <DocSecurity>0</DocSecurity>
  <Lines>164</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12825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2022-08-30T14:12:00Z</dcterms:created>
  <dcterms:modified xsi:type="dcterms:W3CDTF">2022-08-30T14:12:00Z</dcterms:modified>
  <cp:category/>
</cp:coreProperties>
</file>