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8D007" w14:textId="77777777" w:rsidR="00045FF9" w:rsidRPr="003A60D7" w:rsidRDefault="00045FF9" w:rsidP="00045FF9">
      <w:pPr>
        <w:pStyle w:val="BodyText"/>
        <w:contextualSpacing/>
        <w:jc w:val="center"/>
        <w:rPr>
          <w:rFonts w:ascii="Times New Roman" w:hAnsi="Times New Roman" w:cs="Times New Roman"/>
          <w:sz w:val="22"/>
          <w:szCs w:val="22"/>
        </w:rPr>
      </w:pPr>
      <w:r>
        <w:rPr>
          <w:rFonts w:ascii="Times New Roman" w:hAnsi="Times New Roman" w:hint="eastAsia"/>
          <w:noProof/>
          <w:sz w:val="22"/>
        </w:rPr>
        <w:drawing>
          <wp:inline distT="0" distB="0" distL="0" distR="0" wp14:anchorId="4751F2C2" wp14:editId="2DDADF75">
            <wp:extent cx="1743075" cy="484098"/>
            <wp:effectExtent l="0" t="0" r="0" b="0"/>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8" cstate="print"/>
                    <a:stretch>
                      <a:fillRect/>
                    </a:stretch>
                  </pic:blipFill>
                  <pic:spPr>
                    <a:xfrm>
                      <a:off x="0" y="0"/>
                      <a:ext cx="1790244" cy="497198"/>
                    </a:xfrm>
                    <a:prstGeom prst="rect">
                      <a:avLst/>
                    </a:prstGeom>
                  </pic:spPr>
                </pic:pic>
              </a:graphicData>
            </a:graphic>
          </wp:inline>
        </w:drawing>
      </w:r>
    </w:p>
    <w:p w14:paraId="0BE16DEB" w14:textId="10829082" w:rsidR="00045FF9" w:rsidRPr="003A60D7" w:rsidRDefault="00045FF9" w:rsidP="00045FF9">
      <w:pPr>
        <w:pStyle w:val="BodyText"/>
        <w:spacing w:before="4"/>
        <w:contextualSpacing/>
        <w:jc w:val="center"/>
        <w:rPr>
          <w:rFonts w:ascii="Times New Roman" w:hAnsi="Times New Roman" w:cs="Times New Roman"/>
          <w:b/>
          <w:sz w:val="22"/>
          <w:szCs w:val="22"/>
        </w:rPr>
      </w:pPr>
      <w:r>
        <w:rPr>
          <w:rFonts w:ascii="Times New Roman" w:hAnsi="Times New Roman" w:hint="eastAsia"/>
          <w:noProof/>
          <w:sz w:val="22"/>
        </w:rPr>
        <mc:AlternateContent>
          <mc:Choice Requires="wps">
            <w:drawing>
              <wp:anchor distT="0" distB="0" distL="0" distR="0" simplePos="0" relativeHeight="251659264" behindDoc="0" locked="0" layoutInCell="1" allowOverlap="1" wp14:anchorId="40BB6352" wp14:editId="6FDE1621">
                <wp:simplePos x="0" y="0"/>
                <wp:positionH relativeFrom="page">
                  <wp:posOffset>959485</wp:posOffset>
                </wp:positionH>
                <wp:positionV relativeFrom="paragraph">
                  <wp:posOffset>124460</wp:posOffset>
                </wp:positionV>
                <wp:extent cx="5998210" cy="0"/>
                <wp:effectExtent l="16510" t="17780" r="14605" b="10795"/>
                <wp:wrapTopAndBottom/>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190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DC39804" id="Line 3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5pt,9.8pt" to="547.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" strokecolor="#666" strokeweight="1.5pt">
                <w10:wrap type="topAndBottom" anchorx="page"/>
              </v:line>
            </w:pict>
          </mc:Fallback>
        </mc:AlternateContent>
      </w:r>
      <w:r>
        <w:rPr>
          <w:rFonts w:ascii="Times New Roman" w:hAnsi="Times New Roman" w:hint="eastAsia"/>
          <w:b/>
          <w:sz w:val="22"/>
        </w:rPr>
        <w:t>歐盟舉報人指令合規政策</w:t>
      </w:r>
    </w:p>
    <w:p w14:paraId="62428DE3" w14:textId="5093742A" w:rsidR="00045FF9" w:rsidRPr="003A60D7" w:rsidRDefault="00045FF9" w:rsidP="00B5092D">
      <w:pPr>
        <w:pStyle w:val="BodyText"/>
        <w:tabs>
          <w:tab w:val="left" w:pos="5040"/>
        </w:tabs>
        <w:spacing w:before="4"/>
        <w:contextualSpacing/>
        <w:rPr>
          <w:rFonts w:ascii="Times New Roman" w:hAnsi="Times New Roman" w:cs="Times New Roman"/>
          <w:sz w:val="22"/>
          <w:szCs w:val="22"/>
        </w:rPr>
      </w:pPr>
      <w:r>
        <w:rPr>
          <w:rFonts w:ascii="Times New Roman" w:hAnsi="Times New Roman" w:hint="eastAsia"/>
          <w:noProof/>
          <w:sz w:val="22"/>
        </w:rPr>
        <mc:AlternateContent>
          <mc:Choice Requires="wps">
            <w:drawing>
              <wp:anchor distT="0" distB="0" distL="0" distR="0" simplePos="0" relativeHeight="251660288" behindDoc="0" locked="0" layoutInCell="1" allowOverlap="1" wp14:anchorId="3603EBEC" wp14:editId="4F7E80FE">
                <wp:simplePos x="0" y="0"/>
                <wp:positionH relativeFrom="page">
                  <wp:posOffset>953135</wp:posOffset>
                </wp:positionH>
                <wp:positionV relativeFrom="paragraph">
                  <wp:posOffset>107950</wp:posOffset>
                </wp:positionV>
                <wp:extent cx="6010910" cy="0"/>
                <wp:effectExtent l="10160" t="11430" r="8255" b="762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13463">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47956EE" id="Line 3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05pt,8.5pt" to="54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" strokecolor="#666" strokeweight=".37397mm">
                <w10:wrap type="topAndBottom" anchorx="page"/>
              </v:line>
            </w:pict>
          </mc:Fallback>
        </mc:AlternateContent>
      </w:r>
      <w:r>
        <w:rPr>
          <w:rFonts w:ascii="Times New Roman" w:hAnsi="Times New Roman" w:hint="eastAsia"/>
          <w:b/>
          <w:sz w:val="22"/>
        </w:rPr>
        <w:t>類別：</w:t>
      </w:r>
      <w:r>
        <w:rPr>
          <w:rFonts w:ascii="Times New Roman" w:hAnsi="Times New Roman" w:hint="eastAsia"/>
          <w:sz w:val="22"/>
        </w:rPr>
        <w:t>職能範圍</w:t>
      </w:r>
      <w:r>
        <w:rPr>
          <w:rFonts w:ascii="Times New Roman" w:hAnsi="Times New Roman" w:hint="eastAsia"/>
          <w:sz w:val="22"/>
        </w:rPr>
        <w:tab/>
      </w:r>
      <w:r>
        <w:rPr>
          <w:rFonts w:ascii="Times New Roman" w:hAnsi="Times New Roman" w:hint="eastAsia"/>
          <w:b/>
          <w:sz w:val="22"/>
        </w:rPr>
        <w:t>建立日期：</w:t>
      </w:r>
      <w:r>
        <w:rPr>
          <w:rFonts w:hint="eastAsia"/>
        </w:rPr>
        <w:t xml:space="preserve">2022 </w:t>
      </w:r>
      <w:r>
        <w:rPr>
          <w:rFonts w:hint="eastAsia"/>
        </w:rPr>
        <w:t>年</w:t>
      </w:r>
      <w:r>
        <w:rPr>
          <w:rFonts w:hint="eastAsia"/>
        </w:rPr>
        <w:t xml:space="preserve"> 8 </w:t>
      </w:r>
      <w:r>
        <w:rPr>
          <w:rFonts w:hint="eastAsia"/>
        </w:rPr>
        <w:t>月</w:t>
      </w:r>
    </w:p>
    <w:p w14:paraId="2E4A1C2D" w14:textId="067A8397" w:rsidR="00045FF9" w:rsidRPr="003A60D7" w:rsidRDefault="00045FF9" w:rsidP="00B5092D">
      <w:pPr>
        <w:tabs>
          <w:tab w:val="left" w:pos="5040"/>
          <w:tab w:val="left" w:pos="5670"/>
        </w:tabs>
        <w:contextualSpacing/>
        <w:rPr>
          <w:rFonts w:ascii="Times New Roman" w:hAnsi="Times New Roman" w:cs="Times New Roman"/>
          <w:b/>
        </w:rPr>
      </w:pPr>
      <w:r>
        <w:rPr>
          <w:rFonts w:ascii="Times New Roman" w:hAnsi="Times New Roman" w:hint="eastAsia"/>
          <w:b/>
        </w:rPr>
        <w:t>負責部門：</w:t>
      </w:r>
      <w:r>
        <w:rPr>
          <w:rFonts w:ascii="Times New Roman" w:hAnsi="Times New Roman" w:hint="eastAsia"/>
        </w:rPr>
        <w:t>部門名稱</w:t>
      </w:r>
      <w:r>
        <w:rPr>
          <w:rFonts w:ascii="Times New Roman" w:hAnsi="Times New Roman" w:hint="eastAsia"/>
        </w:rPr>
        <w:tab/>
      </w:r>
      <w:r>
        <w:rPr>
          <w:rFonts w:ascii="Times New Roman" w:hAnsi="Times New Roman" w:hint="eastAsia"/>
          <w:b/>
        </w:rPr>
        <w:t>最後修訂日期：</w:t>
      </w:r>
      <w:r>
        <w:rPr>
          <w:rFonts w:ascii="Times New Roman" w:hAnsi="Times New Roman" w:hint="eastAsia"/>
        </w:rPr>
        <w:t xml:space="preserve">2022 </w:t>
      </w:r>
      <w:r>
        <w:rPr>
          <w:rFonts w:ascii="Times New Roman" w:hAnsi="Times New Roman" w:hint="eastAsia"/>
        </w:rPr>
        <w:t>年</w:t>
      </w:r>
      <w:r>
        <w:rPr>
          <w:rFonts w:ascii="Times New Roman" w:hAnsi="Times New Roman" w:hint="eastAsia"/>
        </w:rPr>
        <w:t xml:space="preserve"> 8 </w:t>
      </w:r>
      <w:r>
        <w:rPr>
          <w:rFonts w:ascii="Times New Roman" w:hAnsi="Times New Roman" w:hint="eastAsia"/>
        </w:rPr>
        <w:t>月</w:t>
      </w:r>
    </w:p>
    <w:p w14:paraId="6C27B499" w14:textId="2516F3A6" w:rsidR="00045FF9" w:rsidRPr="003A60D7" w:rsidRDefault="00045FF9" w:rsidP="00B5092D">
      <w:pPr>
        <w:tabs>
          <w:tab w:val="left" w:pos="5040"/>
          <w:tab w:val="left" w:pos="5940"/>
        </w:tabs>
        <w:spacing w:before="120"/>
        <w:contextualSpacing/>
        <w:rPr>
          <w:rFonts w:ascii="Times New Roman" w:hAnsi="Times New Roman" w:cs="Times New Roman"/>
          <w:bCs/>
        </w:rPr>
      </w:pPr>
      <w:r>
        <w:rPr>
          <w:rFonts w:ascii="Times New Roman" w:hAnsi="Times New Roman" w:hint="eastAsia"/>
          <w:b/>
        </w:rPr>
        <w:t>負責高管：</w:t>
      </w:r>
      <w:r>
        <w:rPr>
          <w:rFonts w:ascii="Times New Roman" w:hAnsi="Times New Roman" w:hint="eastAsia"/>
        </w:rPr>
        <w:t>Ehsan Zargar</w:t>
      </w:r>
      <w:r>
        <w:rPr>
          <w:rFonts w:ascii="Times New Roman" w:hAnsi="Times New Roman" w:hint="eastAsia"/>
        </w:rPr>
        <w:tab/>
      </w:r>
      <w:r>
        <w:rPr>
          <w:rFonts w:ascii="Times New Roman" w:hAnsi="Times New Roman" w:hint="eastAsia"/>
          <w:b/>
        </w:rPr>
        <w:t>發布至</w:t>
      </w:r>
      <w:r>
        <w:rPr>
          <w:rFonts w:ascii="Times New Roman" w:hAnsi="Times New Roman" w:hint="eastAsia"/>
          <w:b/>
        </w:rPr>
        <w:t xml:space="preserve"> SPB </w:t>
      </w:r>
      <w:r>
        <w:rPr>
          <w:rFonts w:ascii="Times New Roman" w:hAnsi="Times New Roman" w:hint="eastAsia"/>
          <w:b/>
        </w:rPr>
        <w:t>庫的日期：</w:t>
      </w:r>
      <w:r>
        <w:rPr>
          <w:rFonts w:ascii="Times New Roman" w:hAnsi="Times New Roman" w:hint="eastAsia"/>
        </w:rPr>
        <w:t xml:space="preserve">2022 </w:t>
      </w:r>
      <w:r>
        <w:rPr>
          <w:rFonts w:ascii="Times New Roman" w:hAnsi="Times New Roman" w:hint="eastAsia"/>
        </w:rPr>
        <w:t>年</w:t>
      </w:r>
      <w:r>
        <w:rPr>
          <w:rFonts w:ascii="Times New Roman" w:hAnsi="Times New Roman" w:hint="eastAsia"/>
        </w:rPr>
        <w:t xml:space="preserve"> 8 </w:t>
      </w:r>
      <w:r>
        <w:rPr>
          <w:rFonts w:ascii="Times New Roman" w:hAnsi="Times New Roman" w:hint="eastAsia"/>
        </w:rPr>
        <w:t>月</w:t>
      </w:r>
    </w:p>
    <w:p w14:paraId="4A485202" w14:textId="77777777" w:rsidR="00045FF9" w:rsidRPr="003A60D7" w:rsidRDefault="00045FF9" w:rsidP="00045FF9">
      <w:pPr>
        <w:tabs>
          <w:tab w:val="left" w:pos="5490"/>
          <w:tab w:val="left" w:pos="5940"/>
        </w:tabs>
        <w:spacing w:before="120"/>
        <w:contextualSpacing/>
        <w:rPr>
          <w:rFonts w:ascii="Times New Roman" w:hAnsi="Times New Roman" w:cs="Times New Roman"/>
        </w:rPr>
      </w:pPr>
    </w:p>
    <w:tbl>
      <w:tblPr>
        <w:tblStyle w:val="TableGrid"/>
        <w:tblW w:w="9450" w:type="dxa"/>
        <w:tblInd w:w="108" w:type="dxa"/>
        <w:tblLook w:val="04A0" w:firstRow="1" w:lastRow="0" w:firstColumn="1" w:lastColumn="0" w:noHBand="0" w:noVBand="1"/>
      </w:tblPr>
      <w:tblGrid>
        <w:gridCol w:w="9450"/>
      </w:tblGrid>
      <w:tr w:rsidR="00045FF9" w:rsidRPr="003A60D7" w14:paraId="49CE261A" w14:textId="77777777" w:rsidTr="009E7712">
        <w:trPr>
          <w:trHeight w:val="260"/>
        </w:trPr>
        <w:tc>
          <w:tcPr>
            <w:tcW w:w="9450" w:type="dxa"/>
          </w:tcPr>
          <w:p w14:paraId="537EFD74" w14:textId="77777777" w:rsidR="00045FF9" w:rsidRPr="003A60D7" w:rsidRDefault="00045FF9" w:rsidP="009E7712">
            <w:pPr>
              <w:pStyle w:val="BodyText"/>
              <w:spacing w:before="123"/>
              <w:contextualSpacing/>
              <w:jc w:val="both"/>
              <w:rPr>
                <w:rFonts w:ascii="Times New Roman" w:hAnsi="Times New Roman" w:cs="Times New Roman"/>
                <w:b/>
                <w:bCs/>
                <w:sz w:val="22"/>
                <w:szCs w:val="22"/>
              </w:rPr>
            </w:pPr>
            <w:r>
              <w:rPr>
                <w:rFonts w:ascii="Times New Roman" w:hAnsi="Times New Roman" w:hint="eastAsia"/>
                <w:b/>
                <w:sz w:val="22"/>
              </w:rPr>
              <w:t>概要</w:t>
            </w:r>
          </w:p>
        </w:tc>
      </w:tr>
    </w:tbl>
    <w:p w14:paraId="0498A0EB" w14:textId="77777777" w:rsidR="00045FF9" w:rsidRPr="003A60D7" w:rsidRDefault="00045FF9" w:rsidP="00045FF9">
      <w:pPr>
        <w:pStyle w:val="BodyText"/>
        <w:contextualSpacing/>
        <w:rPr>
          <w:rFonts w:ascii="Times New Roman" w:hAnsi="Times New Roman" w:cs="Times New Roman"/>
          <w:sz w:val="22"/>
          <w:szCs w:val="22"/>
        </w:rPr>
      </w:pPr>
    </w:p>
    <w:p w14:paraId="6E62194E" w14:textId="7E80CA84" w:rsidR="00045FF9" w:rsidRPr="003A60D7" w:rsidRDefault="00045FF9" w:rsidP="00B5092D">
      <w:pPr>
        <w:pStyle w:val="BodyText"/>
        <w:tabs>
          <w:tab w:val="left" w:pos="5040"/>
        </w:tabs>
        <w:spacing w:before="123"/>
        <w:contextualSpacing/>
        <w:jc w:val="both"/>
        <w:rPr>
          <w:rFonts w:ascii="Times New Roman" w:hAnsi="Times New Roman" w:cs="Times New Roman"/>
          <w:sz w:val="22"/>
          <w:szCs w:val="22"/>
        </w:rPr>
      </w:pPr>
      <w:r>
        <w:rPr>
          <w:rFonts w:ascii="Times New Roman" w:hAnsi="Times New Roman" w:hint="eastAsia"/>
          <w:sz w:val="22"/>
        </w:rPr>
        <w:t>本《歐盟舉報人指令合規政策》（「</w:t>
      </w:r>
      <w:r>
        <w:rPr>
          <w:rFonts w:ascii="Times New Roman" w:hAnsi="Times New Roman" w:hint="eastAsia"/>
          <w:sz w:val="22"/>
          <w:u w:val="single"/>
        </w:rPr>
        <w:t>本政策</w:t>
      </w:r>
      <w:r>
        <w:rPr>
          <w:rFonts w:ascii="Times New Roman" w:hAnsi="Times New Roman" w:hint="eastAsia"/>
          <w:sz w:val="22"/>
        </w:rPr>
        <w:t>」）載列了</w:t>
      </w:r>
      <w:r>
        <w:rPr>
          <w:rFonts w:ascii="Times New Roman" w:hAnsi="Times New Roman" w:hint="eastAsia"/>
          <w:sz w:val="22"/>
        </w:rPr>
        <w:t xml:space="preserve"> Spectrum Brands Holdings, Inc. </w:t>
      </w:r>
      <w:r>
        <w:rPr>
          <w:rFonts w:ascii="Times New Roman" w:hAnsi="Times New Roman" w:hint="eastAsia"/>
          <w:sz w:val="22"/>
        </w:rPr>
        <w:t>及其控制之聯屬公司和附屬公司（統稱「</w:t>
      </w:r>
      <w:r>
        <w:rPr>
          <w:rFonts w:ascii="Times New Roman" w:hAnsi="Times New Roman" w:hint="eastAsia"/>
          <w:sz w:val="22"/>
          <w:u w:val="single"/>
        </w:rPr>
        <w:t>Spectrum Brands</w:t>
      </w:r>
      <w:r>
        <w:rPr>
          <w:rFonts w:ascii="Times New Roman" w:hAnsi="Times New Roman" w:hint="eastAsia"/>
          <w:sz w:val="22"/>
        </w:rPr>
        <w:t>」或「</w:t>
      </w:r>
      <w:r>
        <w:rPr>
          <w:rFonts w:ascii="Times New Roman" w:hAnsi="Times New Roman" w:hint="eastAsia"/>
          <w:sz w:val="22"/>
          <w:u w:val="single"/>
        </w:rPr>
        <w:t>本公司</w:t>
      </w:r>
      <w:r>
        <w:rPr>
          <w:rFonts w:ascii="Times New Roman" w:hAnsi="Times New Roman" w:hint="eastAsia"/>
          <w:sz w:val="22"/>
        </w:rPr>
        <w:t>」）為全面遵守歐洲聯盟（「</w:t>
      </w:r>
      <w:r>
        <w:rPr>
          <w:rFonts w:ascii="Times New Roman" w:hAnsi="Times New Roman" w:hint="eastAsia"/>
          <w:sz w:val="22"/>
          <w:u w:val="single"/>
        </w:rPr>
        <w:t>歐盟</w:t>
      </w:r>
      <w:r>
        <w:rPr>
          <w:rFonts w:ascii="Times New Roman" w:hAnsi="Times New Roman" w:hint="eastAsia"/>
          <w:sz w:val="22"/>
        </w:rPr>
        <w:t>」）</w:t>
      </w:r>
      <w:r>
        <w:rPr>
          <w:rFonts w:ascii="Times New Roman" w:hAnsi="Times New Roman" w:hint="eastAsia"/>
          <w:sz w:val="22"/>
        </w:rPr>
        <w:t xml:space="preserve">2019/1937 </w:t>
      </w:r>
      <w:r>
        <w:rPr>
          <w:rFonts w:ascii="Times New Roman" w:hAnsi="Times New Roman" w:hint="eastAsia"/>
          <w:sz w:val="22"/>
        </w:rPr>
        <w:t>號指令，即歐盟舉報人指令（「</w:t>
      </w:r>
      <w:r>
        <w:rPr>
          <w:rFonts w:ascii="Times New Roman" w:hAnsi="Times New Roman" w:hint="eastAsia"/>
          <w:sz w:val="22"/>
          <w:u w:val="single"/>
        </w:rPr>
        <w:t>舉報人指令</w:t>
      </w:r>
      <w:r>
        <w:rPr>
          <w:rFonts w:ascii="Times New Roman" w:hAnsi="Times New Roman" w:hint="eastAsia"/>
          <w:sz w:val="22"/>
        </w:rPr>
        <w:t>」）而制定的政策。本政策為舉報人（定義見本政策）以及負責根據本政策接收、調查並跟進舉報的人員提供指導。</w:t>
      </w:r>
    </w:p>
    <w:p w14:paraId="4471BF8B"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450" w:type="dxa"/>
        <w:tblInd w:w="108" w:type="dxa"/>
        <w:tblLook w:val="04A0" w:firstRow="1" w:lastRow="0" w:firstColumn="1" w:lastColumn="0" w:noHBand="0" w:noVBand="1"/>
      </w:tblPr>
      <w:tblGrid>
        <w:gridCol w:w="9450"/>
      </w:tblGrid>
      <w:tr w:rsidR="00045FF9" w:rsidRPr="003A60D7" w14:paraId="2FF750D8" w14:textId="77777777" w:rsidTr="009E7712">
        <w:tc>
          <w:tcPr>
            <w:tcW w:w="9450" w:type="dxa"/>
          </w:tcPr>
          <w:p w14:paraId="5ACE1B39"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hint="eastAsia"/>
                <w:b/>
                <w:sz w:val="22"/>
              </w:rPr>
              <w:t>適用範圍</w:t>
            </w:r>
          </w:p>
        </w:tc>
      </w:tr>
    </w:tbl>
    <w:p w14:paraId="3DE540F7" w14:textId="77777777" w:rsidR="00045FF9" w:rsidRPr="003A60D7" w:rsidRDefault="00045FF9" w:rsidP="00045FF9">
      <w:pPr>
        <w:pStyle w:val="BodyText"/>
        <w:contextualSpacing/>
        <w:rPr>
          <w:rFonts w:ascii="Times New Roman" w:hAnsi="Times New Roman" w:cs="Times New Roman"/>
          <w:sz w:val="22"/>
          <w:szCs w:val="22"/>
        </w:rPr>
      </w:pPr>
    </w:p>
    <w:p w14:paraId="28F7947F" w14:textId="35563CB8" w:rsidR="00986018" w:rsidRPr="00986018" w:rsidRDefault="00045FF9" w:rsidP="00986018">
      <w:pPr>
        <w:pStyle w:val="BodyText"/>
        <w:contextualSpacing/>
        <w:jc w:val="both"/>
        <w:rPr>
          <w:rFonts w:ascii="Times New Roman" w:hAnsi="Times New Roman" w:cs="Times New Roman"/>
          <w:sz w:val="22"/>
          <w:szCs w:val="22"/>
        </w:rPr>
      </w:pPr>
      <w:r>
        <w:rPr>
          <w:rFonts w:ascii="Times New Roman" w:hAnsi="Times New Roman" w:hint="eastAsia"/>
          <w:sz w:val="22"/>
        </w:rPr>
        <w:t>本政策適用於所有在歐盟工作的</w:t>
      </w:r>
      <w:r>
        <w:rPr>
          <w:rFonts w:ascii="Times New Roman" w:hAnsi="Times New Roman" w:hint="eastAsia"/>
          <w:sz w:val="22"/>
        </w:rPr>
        <w:t xml:space="preserve"> Spectrum Brands </w:t>
      </w:r>
      <w:r>
        <w:rPr>
          <w:rFonts w:ascii="Times New Roman" w:hAnsi="Times New Roman" w:hint="eastAsia"/>
          <w:sz w:val="22"/>
        </w:rPr>
        <w:t>員工，包括全職、兼職、臨時、季節性或有限期員工，以及代表</w:t>
      </w:r>
      <w:r>
        <w:rPr>
          <w:rFonts w:ascii="Times New Roman" w:hAnsi="Times New Roman" w:hint="eastAsia"/>
          <w:sz w:val="22"/>
        </w:rPr>
        <w:t xml:space="preserve"> Spectrum Brands </w:t>
      </w:r>
      <w:r>
        <w:rPr>
          <w:rFonts w:ascii="Times New Roman" w:hAnsi="Times New Roman" w:hint="eastAsia"/>
          <w:sz w:val="22"/>
        </w:rPr>
        <w:t>行事的實習生或承包商。對於尚未入職</w:t>
      </w:r>
      <w:r>
        <w:rPr>
          <w:rFonts w:ascii="Times New Roman" w:hAnsi="Times New Roman" w:hint="eastAsia"/>
          <w:sz w:val="22"/>
        </w:rPr>
        <w:t xml:space="preserve"> Spectrum Brands </w:t>
      </w:r>
      <w:r>
        <w:rPr>
          <w:rFonts w:ascii="Times New Roman" w:hAnsi="Times New Roman" w:hint="eastAsia"/>
          <w:sz w:val="22"/>
        </w:rPr>
        <w:t>之個人，若其想要舉報的資訊乃於招聘過程中或合同前協商階段獲得，其也受本政策保護。有些國家</w:t>
      </w:r>
      <w:r>
        <w:rPr>
          <w:rFonts w:ascii="Times New Roman" w:hAnsi="Times New Roman" w:hint="eastAsia"/>
          <w:sz w:val="22"/>
        </w:rPr>
        <w:t>/</w:t>
      </w:r>
      <w:r>
        <w:rPr>
          <w:rFonts w:ascii="Times New Roman" w:hAnsi="Times New Roman" w:hint="eastAsia"/>
          <w:sz w:val="22"/>
        </w:rPr>
        <w:t>地區的當地法律規定可能有別於或高於本政策的規定。在此情況下，任何適用的當地法律或政策將額外適用。</w:t>
      </w:r>
      <w:r>
        <w:rPr>
          <w:rFonts w:ascii="Times New Roman" w:hAnsi="Times New Roman" w:hint="eastAsia"/>
          <w:sz w:val="22"/>
        </w:rPr>
        <w:t xml:space="preserve">  </w:t>
      </w:r>
      <w:r>
        <w:rPr>
          <w:rFonts w:ascii="Times New Roman" w:hAnsi="Times New Roman" w:hint="eastAsia"/>
          <w:sz w:val="22"/>
        </w:rPr>
        <w:t>適用的當地法律與本政策之間不大可能存在衝突，但如果出現任何衝突或您發現任何衝突，請通知</w:t>
      </w:r>
      <w:r>
        <w:rPr>
          <w:rFonts w:ascii="Times New Roman" w:hAnsi="Times New Roman" w:hint="eastAsia"/>
          <w:sz w:val="22"/>
        </w:rPr>
        <w:t xml:space="preserve"> Spectrum Brands</w:t>
      </w:r>
      <w:r>
        <w:rPr>
          <w:rFonts w:ascii="Times New Roman" w:hAnsi="Times New Roman" w:hint="eastAsia"/>
          <w:sz w:val="22"/>
        </w:rPr>
        <w:t>，且在任何情況下，當地法律均優先於本政策所載之衝突規定。本政策不能也無意涵蓋所有適用法律或回答可能出現的所有問題；為此，我們最終必須依賴每一個人的認真態度來確定正確的做法，包括於適當時候就適當的行為向他人尋求指導。</w:t>
      </w:r>
    </w:p>
    <w:p w14:paraId="1EFA1D0C" w14:textId="391E7364" w:rsidR="00045FF9" w:rsidRPr="003A60D7" w:rsidRDefault="00DE2E3A" w:rsidP="00045FF9">
      <w:pPr>
        <w:pStyle w:val="BodyText"/>
        <w:contextualSpacing/>
        <w:jc w:val="both"/>
        <w:rPr>
          <w:rFonts w:ascii="Times New Roman" w:hAnsi="Times New Roman" w:cs="Times New Roman"/>
          <w:sz w:val="22"/>
          <w:szCs w:val="22"/>
        </w:rPr>
      </w:pPr>
      <w:r>
        <w:rPr>
          <w:rFonts w:ascii="Times New Roman" w:hAnsi="Times New Roman" w:hint="eastAsia"/>
          <w:sz w:val="22"/>
        </w:rPr>
        <w:t xml:space="preserve"> </w:t>
      </w:r>
    </w:p>
    <w:p w14:paraId="7C391C9D"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540" w:type="dxa"/>
        <w:tblInd w:w="18" w:type="dxa"/>
        <w:tblLook w:val="04A0" w:firstRow="1" w:lastRow="0" w:firstColumn="1" w:lastColumn="0" w:noHBand="0" w:noVBand="1"/>
      </w:tblPr>
      <w:tblGrid>
        <w:gridCol w:w="9540"/>
      </w:tblGrid>
      <w:tr w:rsidR="00045FF9" w:rsidRPr="003A60D7" w14:paraId="7869AE2E" w14:textId="77777777" w:rsidTr="009E7712">
        <w:tc>
          <w:tcPr>
            <w:tcW w:w="9540" w:type="dxa"/>
          </w:tcPr>
          <w:p w14:paraId="360BA946" w14:textId="77777777" w:rsidR="00045FF9" w:rsidRPr="003A60D7" w:rsidRDefault="00045FF9" w:rsidP="009E7712">
            <w:pPr>
              <w:pStyle w:val="BodyText"/>
              <w:spacing w:before="220"/>
              <w:contextualSpacing/>
              <w:jc w:val="both"/>
              <w:rPr>
                <w:rFonts w:ascii="Times New Roman" w:hAnsi="Times New Roman" w:cs="Times New Roman"/>
                <w:b/>
                <w:bCs/>
                <w:sz w:val="22"/>
                <w:szCs w:val="22"/>
              </w:rPr>
            </w:pPr>
            <w:r>
              <w:rPr>
                <w:rFonts w:ascii="Times New Roman" w:hAnsi="Times New Roman" w:hint="eastAsia"/>
                <w:b/>
                <w:sz w:val="22"/>
              </w:rPr>
              <w:t>政策合規</w:t>
            </w:r>
          </w:p>
        </w:tc>
      </w:tr>
    </w:tbl>
    <w:p w14:paraId="094C0D0E"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459D8CC1" w14:textId="77777777" w:rsidR="00045FF9" w:rsidRPr="003A60D7" w:rsidRDefault="00045FF9"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hint="eastAsia"/>
          <w:sz w:val="22"/>
        </w:rPr>
        <w:t>背景和概要</w:t>
      </w:r>
    </w:p>
    <w:p w14:paraId="482DAA92"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02565860" w14:textId="341FC85C" w:rsidR="003763E3" w:rsidRPr="00DC0AEB" w:rsidRDefault="00087D6C" w:rsidP="00045FF9">
      <w:pPr>
        <w:pStyle w:val="BodyText"/>
        <w:spacing w:before="2"/>
        <w:contextualSpacing/>
        <w:jc w:val="both"/>
        <w:rPr>
          <w:rFonts w:ascii="Times New Roman" w:hAnsi="Times New Roman" w:cs="Times New Roman"/>
          <w:spacing w:val="8"/>
          <w:sz w:val="22"/>
          <w:szCs w:val="22"/>
        </w:rPr>
      </w:pPr>
      <w:r>
        <w:rPr>
          <w:rFonts w:ascii="Times New Roman" w:hAnsi="Times New Roman" w:hint="eastAsia"/>
          <w:sz w:val="22"/>
        </w:rPr>
        <w:t>「</w:t>
      </w:r>
      <w:r>
        <w:rPr>
          <w:rFonts w:ascii="Times New Roman" w:hAnsi="Times New Roman" w:hint="eastAsia"/>
          <w:sz w:val="22"/>
          <w:u w:val="single"/>
        </w:rPr>
        <w:t>舉報人</w:t>
      </w:r>
      <w:r>
        <w:rPr>
          <w:rFonts w:ascii="Times New Roman" w:hAnsi="Times New Roman" w:hint="eastAsia"/>
          <w:sz w:val="22"/>
        </w:rPr>
        <w:t>」指舉報歐盟法律法規違規行為的個人，具體涉及但不限於以下領域：</w:t>
      </w:r>
      <w:r>
        <w:rPr>
          <w:rFonts w:ascii="Times New Roman" w:hAnsi="Times New Roman" w:hint="eastAsia"/>
          <w:sz w:val="22"/>
        </w:rPr>
        <w:t xml:space="preserve">(i) </w:t>
      </w:r>
      <w:r>
        <w:rPr>
          <w:rFonts w:ascii="Times New Roman" w:hAnsi="Times New Roman" w:hint="eastAsia"/>
          <w:sz w:val="22"/>
        </w:rPr>
        <w:t>公共採購；</w:t>
      </w:r>
      <w:r>
        <w:rPr>
          <w:rFonts w:ascii="Times New Roman" w:hAnsi="Times New Roman" w:hint="eastAsia"/>
          <w:sz w:val="22"/>
        </w:rPr>
        <w:t xml:space="preserve">(ii) </w:t>
      </w:r>
      <w:r>
        <w:rPr>
          <w:rFonts w:ascii="Times New Roman" w:hAnsi="Times New Roman" w:hint="eastAsia"/>
          <w:sz w:val="22"/>
        </w:rPr>
        <w:t>金融服務、產品和市場，以及防止洗錢或恐怖融資；</w:t>
      </w:r>
      <w:r>
        <w:rPr>
          <w:rFonts w:ascii="Times New Roman" w:hAnsi="Times New Roman" w:hint="eastAsia"/>
          <w:sz w:val="22"/>
        </w:rPr>
        <w:t xml:space="preserve">(iii) </w:t>
      </w:r>
      <w:r>
        <w:rPr>
          <w:rFonts w:ascii="Times New Roman" w:hAnsi="Times New Roman" w:hint="eastAsia"/>
          <w:sz w:val="22"/>
        </w:rPr>
        <w:t>產品安全及合規；</w:t>
      </w:r>
      <w:r>
        <w:rPr>
          <w:rFonts w:ascii="Times New Roman" w:hAnsi="Times New Roman" w:hint="eastAsia"/>
          <w:sz w:val="22"/>
        </w:rPr>
        <w:t xml:space="preserve">(iv) </w:t>
      </w:r>
      <w:r>
        <w:rPr>
          <w:rFonts w:ascii="Times New Roman" w:hAnsi="Times New Roman" w:hint="eastAsia"/>
          <w:sz w:val="22"/>
        </w:rPr>
        <w:t>運輸安全；</w:t>
      </w:r>
      <w:r>
        <w:rPr>
          <w:rFonts w:ascii="Times New Roman" w:hAnsi="Times New Roman" w:hint="eastAsia"/>
          <w:sz w:val="22"/>
        </w:rPr>
        <w:t xml:space="preserve">(v) </w:t>
      </w:r>
      <w:r>
        <w:rPr>
          <w:rFonts w:ascii="Times New Roman" w:hAnsi="Times New Roman" w:hint="eastAsia"/>
          <w:sz w:val="22"/>
        </w:rPr>
        <w:t>環境保護；</w:t>
      </w:r>
      <w:r>
        <w:rPr>
          <w:rFonts w:ascii="Times New Roman" w:hAnsi="Times New Roman" w:hint="eastAsia"/>
          <w:sz w:val="22"/>
        </w:rPr>
        <w:t xml:space="preserve">(vi) </w:t>
      </w:r>
      <w:r>
        <w:rPr>
          <w:rFonts w:ascii="Times New Roman" w:hAnsi="Times New Roman" w:hint="eastAsia"/>
          <w:sz w:val="22"/>
        </w:rPr>
        <w:t>輻射防護和核安全；</w:t>
      </w:r>
      <w:r>
        <w:rPr>
          <w:rFonts w:ascii="Times New Roman" w:hAnsi="Times New Roman" w:hint="eastAsia"/>
          <w:sz w:val="22"/>
        </w:rPr>
        <w:t xml:space="preserve">(vii) </w:t>
      </w:r>
      <w:r>
        <w:rPr>
          <w:rFonts w:ascii="Times New Roman" w:hAnsi="Times New Roman" w:hint="eastAsia"/>
          <w:sz w:val="22"/>
        </w:rPr>
        <w:t>食物和飼料安全，包括動物健康及福利；</w:t>
      </w:r>
      <w:r>
        <w:rPr>
          <w:rFonts w:ascii="Times New Roman" w:hAnsi="Times New Roman" w:hint="eastAsia"/>
          <w:sz w:val="22"/>
        </w:rPr>
        <w:t xml:space="preserve">(viii) </w:t>
      </w:r>
      <w:r>
        <w:rPr>
          <w:rFonts w:ascii="Times New Roman" w:hAnsi="Times New Roman" w:hint="eastAsia"/>
          <w:sz w:val="22"/>
        </w:rPr>
        <w:t>公共衛生；</w:t>
      </w:r>
      <w:r>
        <w:rPr>
          <w:rFonts w:ascii="Times New Roman" w:hAnsi="Times New Roman" w:hint="eastAsia"/>
          <w:sz w:val="22"/>
        </w:rPr>
        <w:t xml:space="preserve">(ix) </w:t>
      </w:r>
      <w:r>
        <w:rPr>
          <w:rFonts w:ascii="Times New Roman" w:hAnsi="Times New Roman" w:hint="eastAsia"/>
          <w:sz w:val="22"/>
        </w:rPr>
        <w:t>消費者保護；</w:t>
      </w:r>
      <w:r>
        <w:rPr>
          <w:rFonts w:ascii="Times New Roman" w:hAnsi="Times New Roman" w:hint="eastAsia"/>
          <w:sz w:val="22"/>
        </w:rPr>
        <w:t xml:space="preserve">(x) </w:t>
      </w:r>
      <w:r>
        <w:rPr>
          <w:rFonts w:ascii="Times New Roman" w:hAnsi="Times New Roman" w:hint="eastAsia"/>
          <w:sz w:val="22"/>
        </w:rPr>
        <w:t>隱私權和個人資料保護，包括網路和資訊系統安全；</w:t>
      </w:r>
      <w:r>
        <w:rPr>
          <w:rFonts w:ascii="Times New Roman" w:hAnsi="Times New Roman" w:hint="eastAsia"/>
          <w:sz w:val="22"/>
        </w:rPr>
        <w:t xml:space="preserve">(xi) </w:t>
      </w:r>
      <w:r>
        <w:rPr>
          <w:rFonts w:ascii="Times New Roman" w:hAnsi="Times New Roman" w:hint="eastAsia"/>
          <w:sz w:val="22"/>
        </w:rPr>
        <w:t>影響歐盟財務利益的違規行為；</w:t>
      </w:r>
      <w:r>
        <w:rPr>
          <w:rFonts w:ascii="Times New Roman" w:hAnsi="Times New Roman" w:hint="eastAsia"/>
          <w:sz w:val="22"/>
        </w:rPr>
        <w:t xml:space="preserve">(xii) </w:t>
      </w:r>
      <w:r>
        <w:rPr>
          <w:rFonts w:ascii="Times New Roman" w:hAnsi="Times New Roman" w:hint="eastAsia"/>
          <w:sz w:val="22"/>
        </w:rPr>
        <w:t>與歐盟內部市場有關的其他違規行為，包括歐盟競爭和國家援助規則（統稱「</w:t>
      </w:r>
      <w:r>
        <w:rPr>
          <w:rFonts w:ascii="Times New Roman" w:hAnsi="Times New Roman" w:hint="eastAsia"/>
          <w:sz w:val="22"/>
          <w:u w:val="single"/>
        </w:rPr>
        <w:t>違規行為</w:t>
      </w:r>
      <w:r>
        <w:rPr>
          <w:rFonts w:ascii="Times New Roman" w:hAnsi="Times New Roman" w:hint="eastAsia"/>
          <w:sz w:val="22"/>
        </w:rPr>
        <w:t>」）。</w:t>
      </w:r>
    </w:p>
    <w:p w14:paraId="77CB4636" w14:textId="1937D2CA" w:rsidR="00A474CF" w:rsidRDefault="00A474CF" w:rsidP="00045FF9">
      <w:pPr>
        <w:pStyle w:val="BodyText"/>
        <w:spacing w:before="2"/>
        <w:contextualSpacing/>
        <w:jc w:val="both"/>
        <w:rPr>
          <w:rFonts w:ascii="Times New Roman" w:eastAsia="Times New Roman" w:hAnsi="Times New Roman" w:cs="Times New Roman"/>
          <w:spacing w:val="8"/>
          <w:sz w:val="22"/>
          <w:szCs w:val="22"/>
        </w:rPr>
      </w:pPr>
    </w:p>
    <w:p w14:paraId="0D9E4064" w14:textId="77777777" w:rsidR="00DA0B59" w:rsidRDefault="00DA0B59" w:rsidP="00045FF9">
      <w:pPr>
        <w:pStyle w:val="BodyText"/>
        <w:spacing w:before="2"/>
        <w:contextualSpacing/>
        <w:jc w:val="both"/>
        <w:rPr>
          <w:rFonts w:ascii="Times New Roman" w:eastAsia="Times New Roman" w:hAnsi="Times New Roman" w:cs="Times New Roman"/>
          <w:spacing w:val="8"/>
          <w:sz w:val="22"/>
          <w:szCs w:val="22"/>
        </w:rPr>
      </w:pPr>
    </w:p>
    <w:p w14:paraId="0DC37618" w14:textId="07053D3B" w:rsidR="00A474CF" w:rsidRDefault="00B94D47" w:rsidP="00045FF9">
      <w:pPr>
        <w:pStyle w:val="BodyText"/>
        <w:spacing w:before="2"/>
        <w:contextualSpacing/>
        <w:jc w:val="both"/>
        <w:rPr>
          <w:rFonts w:ascii="Times New Roman" w:hAnsi="Times New Roman" w:cs="Times New Roman"/>
          <w:spacing w:val="8"/>
          <w:sz w:val="22"/>
          <w:szCs w:val="22"/>
        </w:rPr>
      </w:pPr>
      <w:r>
        <w:rPr>
          <w:rFonts w:ascii="Times New Roman" w:hAnsi="Times New Roman" w:hint="eastAsia"/>
          <w:sz w:val="22"/>
        </w:rPr>
        <w:t>歐盟成員國有權根據其國家法律將保護範圍擴大至未在上文列出的方面。隨著多個成員國透過其國家法律實施舉報人指令，本政策將予以更新，因此本政策所述保護範圍可能更為廣泛，具體視乎僱用您的</w:t>
      </w:r>
      <w:r>
        <w:rPr>
          <w:rFonts w:ascii="Times New Roman" w:hAnsi="Times New Roman" w:hint="eastAsia"/>
          <w:sz w:val="22"/>
        </w:rPr>
        <w:t xml:space="preserve"> Spectrum Brands </w:t>
      </w:r>
      <w:r>
        <w:rPr>
          <w:rFonts w:ascii="Times New Roman" w:hAnsi="Times New Roman" w:hint="eastAsia"/>
          <w:sz w:val="22"/>
        </w:rPr>
        <w:t>實體所在位置而定。對負責調查舉報的個人而言，位於不同成員國的</w:t>
      </w:r>
      <w:r>
        <w:rPr>
          <w:rFonts w:ascii="Times New Roman" w:hAnsi="Times New Roman" w:hint="eastAsia"/>
          <w:sz w:val="22"/>
        </w:rPr>
        <w:t xml:space="preserve"> Spectrum Brands </w:t>
      </w:r>
      <w:r>
        <w:rPr>
          <w:rFonts w:ascii="Times New Roman" w:hAnsi="Times New Roman" w:hint="eastAsia"/>
          <w:sz w:val="22"/>
        </w:rPr>
        <w:t>實體可能擁有不同的程序。舉報人指令在各歐盟成員國的實施可能存在重大差異，因此受本政策規限的本公司各實體之間也可能存在重大差異。若任何員工不確定特定國家或情況</w:t>
      </w:r>
      <w:r>
        <w:rPr>
          <w:rFonts w:ascii="Times New Roman" w:hAnsi="Times New Roman" w:hint="eastAsia"/>
          <w:sz w:val="22"/>
        </w:rPr>
        <w:lastRenderedPageBreak/>
        <w:t>適用的指令或規定，請與法律和風險管理團隊</w:t>
      </w:r>
      <w:r>
        <w:rPr>
          <w:rFonts w:ascii="Times New Roman" w:hAnsi="Times New Roman" w:hint="eastAsia"/>
          <w:sz w:val="22"/>
        </w:rPr>
        <w:t xml:space="preserve"> (LRM) </w:t>
      </w:r>
      <w:r>
        <w:rPr>
          <w:rFonts w:ascii="Times New Roman" w:hAnsi="Times New Roman" w:hint="eastAsia"/>
          <w:sz w:val="22"/>
        </w:rPr>
        <w:t>聯絡。</w:t>
      </w:r>
      <w:r>
        <w:rPr>
          <w:rFonts w:ascii="Times New Roman" w:hAnsi="Times New Roman" w:hint="eastAsia"/>
          <w:sz w:val="22"/>
        </w:rPr>
        <w:t xml:space="preserve"> </w:t>
      </w:r>
    </w:p>
    <w:p w14:paraId="432FCEE0" w14:textId="77777777" w:rsidR="00895FD3" w:rsidRPr="003A60D7" w:rsidRDefault="00895FD3" w:rsidP="00045FF9">
      <w:pPr>
        <w:pStyle w:val="BodyText"/>
        <w:spacing w:before="9"/>
        <w:contextualSpacing/>
        <w:rPr>
          <w:rFonts w:ascii="Times New Roman" w:hAnsi="Times New Roman" w:cs="Times New Roman"/>
          <w:bCs/>
          <w:sz w:val="22"/>
          <w:szCs w:val="22"/>
        </w:rPr>
      </w:pPr>
    </w:p>
    <w:p w14:paraId="79853285" w14:textId="40D2AAC7" w:rsidR="00045FF9" w:rsidRDefault="00B7529F" w:rsidP="00DA0B59">
      <w:pPr>
        <w:pStyle w:val="BodyText"/>
        <w:numPr>
          <w:ilvl w:val="0"/>
          <w:numId w:val="1"/>
        </w:numPr>
        <w:spacing w:before="9"/>
        <w:ind w:left="720"/>
        <w:contextualSpacing/>
        <w:jc w:val="both"/>
        <w:rPr>
          <w:rFonts w:ascii="Times New Roman" w:hAnsi="Times New Roman" w:cs="Times New Roman"/>
          <w:sz w:val="22"/>
          <w:szCs w:val="22"/>
        </w:rPr>
      </w:pPr>
      <w:r>
        <w:rPr>
          <w:rFonts w:ascii="Times New Roman" w:hAnsi="Times New Roman" w:hint="eastAsia"/>
          <w:b/>
          <w:sz w:val="22"/>
        </w:rPr>
        <w:t>獲得本政策項下保護的條件</w:t>
      </w:r>
    </w:p>
    <w:p w14:paraId="05F012C1" w14:textId="77777777" w:rsidR="00045FF9" w:rsidRDefault="00045FF9" w:rsidP="00045FF9">
      <w:pPr>
        <w:pStyle w:val="BodyText"/>
        <w:spacing w:before="9"/>
        <w:contextualSpacing/>
        <w:jc w:val="both"/>
        <w:rPr>
          <w:rFonts w:ascii="Times New Roman" w:hAnsi="Times New Roman" w:cs="Times New Roman"/>
          <w:sz w:val="22"/>
          <w:szCs w:val="22"/>
        </w:rPr>
      </w:pPr>
    </w:p>
    <w:p w14:paraId="4FE0F582" w14:textId="2177DE2A" w:rsidR="00045FF9" w:rsidRPr="003A60D7" w:rsidRDefault="00A47C10" w:rsidP="00B7529F">
      <w:pPr>
        <w:pStyle w:val="BodyText"/>
        <w:spacing w:before="9"/>
        <w:contextualSpacing/>
        <w:jc w:val="both"/>
        <w:rPr>
          <w:rFonts w:ascii="Times New Roman" w:hAnsi="Times New Roman" w:cs="Times New Roman"/>
          <w:b/>
          <w:sz w:val="22"/>
          <w:szCs w:val="22"/>
        </w:rPr>
      </w:pPr>
      <w:r>
        <w:rPr>
          <w:rFonts w:ascii="Times New Roman" w:hAnsi="Times New Roman" w:hint="eastAsia"/>
          <w:sz w:val="22"/>
        </w:rPr>
        <w:t>倘若舉報人有合理理由相信，在其舉報違規行為時，其所擁有的資訊屬實並在本政策和舉報人指令的適用範圍內，並且其根據本政策進行內部舉報，或如其就職的</w:t>
      </w:r>
      <w:r>
        <w:rPr>
          <w:rFonts w:ascii="Times New Roman" w:hAnsi="Times New Roman" w:hint="eastAsia"/>
          <w:sz w:val="22"/>
        </w:rPr>
        <w:t xml:space="preserve"> Spectrum Brands </w:t>
      </w:r>
      <w:r>
        <w:rPr>
          <w:rFonts w:ascii="Times New Roman" w:hAnsi="Times New Roman" w:hint="eastAsia"/>
          <w:sz w:val="22"/>
        </w:rPr>
        <w:t>實體所在歐盟成員國的法律所述進行外部舉報，則其有資格獲得保護。</w:t>
      </w:r>
    </w:p>
    <w:p w14:paraId="043751A6" w14:textId="77777777" w:rsidR="00045FF9" w:rsidRPr="003A60D7" w:rsidRDefault="00045FF9" w:rsidP="00045FF9">
      <w:pPr>
        <w:pStyle w:val="BodyText"/>
        <w:spacing w:before="9"/>
        <w:contextualSpacing/>
        <w:rPr>
          <w:rFonts w:ascii="Times New Roman" w:hAnsi="Times New Roman" w:cs="Times New Roman"/>
          <w:bCs/>
          <w:sz w:val="22"/>
          <w:szCs w:val="22"/>
        </w:rPr>
      </w:pPr>
    </w:p>
    <w:p w14:paraId="5944037A" w14:textId="7992BD60" w:rsidR="00045FF9" w:rsidRPr="003A60D7" w:rsidRDefault="00973DEC"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hint="eastAsia"/>
          <w:sz w:val="22"/>
        </w:rPr>
        <w:t>內部舉報程序</w:t>
      </w:r>
    </w:p>
    <w:p w14:paraId="214645AD" w14:textId="77777777" w:rsidR="00045FF9" w:rsidRPr="003A60D7" w:rsidRDefault="00045FF9" w:rsidP="00045FF9">
      <w:pPr>
        <w:pStyle w:val="Heading1"/>
        <w:tabs>
          <w:tab w:val="left" w:pos="859"/>
          <w:tab w:val="left" w:pos="860"/>
        </w:tabs>
        <w:ind w:left="0"/>
        <w:contextualSpacing/>
        <w:jc w:val="both"/>
        <w:rPr>
          <w:rFonts w:ascii="Times New Roman" w:hAnsi="Times New Roman" w:cs="Times New Roman"/>
          <w:b w:val="0"/>
          <w:bCs w:val="0"/>
          <w:sz w:val="22"/>
          <w:szCs w:val="22"/>
        </w:rPr>
      </w:pPr>
    </w:p>
    <w:p w14:paraId="1FEBB5F9" w14:textId="05A96709" w:rsidR="00045FF9" w:rsidRDefault="0007294D" w:rsidP="00045FF9">
      <w:pPr>
        <w:pStyle w:val="BodyText"/>
        <w:contextualSpacing/>
        <w:jc w:val="both"/>
        <w:rPr>
          <w:rFonts w:ascii="Times New Roman" w:hAnsi="Times New Roman" w:cs="Times New Roman"/>
          <w:sz w:val="22"/>
          <w:szCs w:val="22"/>
        </w:rPr>
      </w:pPr>
      <w:r>
        <w:rPr>
          <w:rFonts w:ascii="Times New Roman" w:hAnsi="Times New Roman" w:hint="eastAsia"/>
          <w:sz w:val="22"/>
        </w:rPr>
        <w:t xml:space="preserve">Spectrum Brands </w:t>
      </w:r>
      <w:r>
        <w:rPr>
          <w:rFonts w:ascii="Times New Roman" w:hAnsi="Times New Roman" w:hint="eastAsia"/>
          <w:sz w:val="22"/>
        </w:rPr>
        <w:t>為舉報人提供安全保密的內部舉報管道，並允許書面和口頭舉報違規行為。您可撥打</w:t>
      </w:r>
      <w:r>
        <w:rPr>
          <w:rFonts w:ascii="Times New Roman" w:hAnsi="Times New Roman" w:hint="eastAsia"/>
          <w:sz w:val="22"/>
        </w:rPr>
        <w:t xml:space="preserve"> 24 </w:t>
      </w:r>
      <w:r>
        <w:rPr>
          <w:rFonts w:ascii="Times New Roman" w:hAnsi="Times New Roman" w:hint="eastAsia"/>
          <w:sz w:val="22"/>
        </w:rPr>
        <w:t>小時服務熱線</w:t>
      </w:r>
      <w:r>
        <w:rPr>
          <w:rFonts w:ascii="Times New Roman" w:hAnsi="Times New Roman" w:hint="eastAsia"/>
          <w:sz w:val="22"/>
        </w:rPr>
        <w:t xml:space="preserve"> 1-866-384-4277 </w:t>
      </w:r>
      <w:r>
        <w:rPr>
          <w:rFonts w:ascii="Times New Roman" w:hAnsi="Times New Roman" w:hint="eastAsia"/>
          <w:sz w:val="22"/>
        </w:rPr>
        <w:t>舉報，或透過以下網站舉報：</w:t>
      </w:r>
      <w:r w:rsidR="009129CB">
        <w:fldChar w:fldCharType="begin"/>
      </w:r>
      <w:r w:rsidR="009129CB">
        <w:instrText xml:space="preserve"> HYPERLINK "https://secure.ethicspoint.com/domain/media/en/gui/7424/index.html" </w:instrText>
      </w:r>
      <w:r w:rsidR="009129CB">
        <w:fldChar w:fldCharType="separate"/>
      </w:r>
      <w:r>
        <w:rPr>
          <w:rStyle w:val="Hyperlink"/>
          <w:rFonts w:ascii="Times New Roman" w:hAnsi="Times New Roman" w:hint="eastAsia"/>
          <w:sz w:val="22"/>
        </w:rPr>
        <w:t>https://secure.ethicspoint.com/domain/media/en/gui/7424/index.html</w:t>
      </w:r>
      <w:r w:rsidR="009129CB">
        <w:rPr>
          <w:rStyle w:val="Hyperlink"/>
          <w:rFonts w:ascii="Times New Roman" w:hAnsi="Times New Roman"/>
          <w:sz w:val="22"/>
        </w:rPr>
        <w:fldChar w:fldCharType="end"/>
      </w:r>
      <w:r>
        <w:rPr>
          <w:rFonts w:ascii="Times New Roman" w:hAnsi="Times New Roman" w:hint="eastAsia"/>
          <w:sz w:val="22"/>
        </w:rPr>
        <w:t>。負責接收舉報之人須於收到初始舉報後七</w:t>
      </w:r>
      <w:r>
        <w:rPr>
          <w:rFonts w:ascii="Times New Roman" w:hAnsi="Times New Roman" w:hint="eastAsia"/>
          <w:sz w:val="22"/>
        </w:rPr>
        <w:t xml:space="preserve"> (7) </w:t>
      </w:r>
      <w:r>
        <w:rPr>
          <w:rFonts w:ascii="Times New Roman" w:hAnsi="Times New Roman" w:hint="eastAsia"/>
          <w:sz w:val="22"/>
        </w:rPr>
        <w:t>個日曆日內向舉報人確認已收到舉報。</w:t>
      </w:r>
    </w:p>
    <w:p w14:paraId="2191B3BB" w14:textId="6DA8D769" w:rsidR="00FD1805" w:rsidRDefault="00FD1805" w:rsidP="00045FF9">
      <w:pPr>
        <w:pStyle w:val="BodyText"/>
        <w:contextualSpacing/>
        <w:jc w:val="both"/>
        <w:rPr>
          <w:rFonts w:ascii="Times New Roman" w:hAnsi="Times New Roman" w:cs="Times New Roman"/>
          <w:sz w:val="22"/>
          <w:szCs w:val="22"/>
        </w:rPr>
      </w:pPr>
    </w:p>
    <w:p w14:paraId="015CC61E" w14:textId="5396AABE" w:rsidR="00FD1805" w:rsidRDefault="00FD1805" w:rsidP="00045FF9">
      <w:pPr>
        <w:pStyle w:val="BodyText"/>
        <w:contextualSpacing/>
        <w:jc w:val="both"/>
        <w:rPr>
          <w:rFonts w:ascii="Times New Roman" w:hAnsi="Times New Roman" w:cs="Times New Roman"/>
          <w:sz w:val="22"/>
          <w:szCs w:val="22"/>
        </w:rPr>
      </w:pPr>
      <w:r>
        <w:rPr>
          <w:rFonts w:ascii="Times New Roman" w:hAnsi="Times New Roman" w:hint="eastAsia"/>
          <w:sz w:val="22"/>
        </w:rPr>
        <w:t>舉報的跟進和調查應由</w:t>
      </w:r>
      <w:r>
        <w:rPr>
          <w:rFonts w:ascii="Times New Roman" w:hAnsi="Times New Roman" w:hint="eastAsia"/>
          <w:sz w:val="22"/>
        </w:rPr>
        <w:t xml:space="preserve"> Spectrum Brands </w:t>
      </w:r>
      <w:r>
        <w:rPr>
          <w:rFonts w:ascii="Times New Roman" w:hAnsi="Times New Roman" w:hint="eastAsia"/>
          <w:sz w:val="22"/>
        </w:rPr>
        <w:t>內部的中立人士或部門（「</w:t>
      </w:r>
      <w:r>
        <w:rPr>
          <w:rFonts w:ascii="Times New Roman" w:hAnsi="Times New Roman" w:hint="eastAsia"/>
          <w:sz w:val="22"/>
          <w:u w:val="single"/>
        </w:rPr>
        <w:t>調查人</w:t>
      </w:r>
      <w:r>
        <w:rPr>
          <w:rFonts w:ascii="Times New Roman" w:hAnsi="Times New Roman" w:hint="eastAsia"/>
          <w:sz w:val="22"/>
        </w:rPr>
        <w:t>」）負責，包括獲取進一步資訊及向舉報人提供回饋。調查人可能與收到初始舉報之人為同一人或與其隸屬於同一部門。</w:t>
      </w:r>
    </w:p>
    <w:p w14:paraId="67FA50FD" w14:textId="0901F8D8" w:rsidR="00AB1C0F" w:rsidRDefault="00AB1C0F" w:rsidP="00045FF9">
      <w:pPr>
        <w:pStyle w:val="BodyText"/>
        <w:contextualSpacing/>
        <w:jc w:val="both"/>
        <w:rPr>
          <w:rFonts w:ascii="Times New Roman" w:hAnsi="Times New Roman" w:cs="Times New Roman"/>
          <w:sz w:val="22"/>
          <w:szCs w:val="22"/>
        </w:rPr>
      </w:pPr>
    </w:p>
    <w:p w14:paraId="2BB41E68" w14:textId="0FC3D531" w:rsidR="00AB1C0F" w:rsidRDefault="00C808EC" w:rsidP="00045FF9">
      <w:pPr>
        <w:pStyle w:val="BodyText"/>
        <w:contextualSpacing/>
        <w:jc w:val="both"/>
        <w:rPr>
          <w:rFonts w:ascii="Times New Roman" w:hAnsi="Times New Roman" w:cs="Times New Roman"/>
          <w:sz w:val="22"/>
          <w:szCs w:val="22"/>
        </w:rPr>
      </w:pPr>
      <w:r>
        <w:rPr>
          <w:rFonts w:ascii="Times New Roman" w:hAnsi="Times New Roman" w:hint="eastAsia"/>
          <w:sz w:val="22"/>
        </w:rPr>
        <w:t>調查人應認真向舉報人跟進，以確認收到舉報，但無論如何不得遲於收到初始舉報後七</w:t>
      </w:r>
      <w:r>
        <w:rPr>
          <w:rFonts w:ascii="Times New Roman" w:hAnsi="Times New Roman" w:hint="eastAsia"/>
          <w:sz w:val="22"/>
        </w:rPr>
        <w:t xml:space="preserve"> (7) </w:t>
      </w:r>
      <w:r>
        <w:rPr>
          <w:rFonts w:ascii="Times New Roman" w:hAnsi="Times New Roman" w:hint="eastAsia"/>
          <w:sz w:val="22"/>
        </w:rPr>
        <w:t>日。隨後調查人應認真對舉報中的指稱和資訊進行全面調查。有關調查可能涉及（其中包括）與舉報人溝通以及獨立核實報告中的指稱。調查人亦須聯絡</w:t>
      </w:r>
      <w:r>
        <w:rPr>
          <w:rFonts w:ascii="Times New Roman" w:hAnsi="Times New Roman" w:hint="eastAsia"/>
          <w:sz w:val="22"/>
        </w:rPr>
        <w:t xml:space="preserve"> Spectrum Brands </w:t>
      </w:r>
      <w:r>
        <w:rPr>
          <w:rFonts w:ascii="Times New Roman" w:hAnsi="Times New Roman" w:hint="eastAsia"/>
          <w:sz w:val="22"/>
        </w:rPr>
        <w:t>的總法律顧問或其指定人士，通知已有人提出舉報、已採取的措施以及調查狀況。</w:t>
      </w:r>
    </w:p>
    <w:p w14:paraId="73FB9996" w14:textId="164006EE" w:rsidR="00BA0885" w:rsidRDefault="00BA0885" w:rsidP="00045FF9">
      <w:pPr>
        <w:pStyle w:val="BodyText"/>
        <w:contextualSpacing/>
        <w:jc w:val="both"/>
        <w:rPr>
          <w:rFonts w:ascii="Times New Roman" w:hAnsi="Times New Roman" w:cs="Times New Roman"/>
          <w:sz w:val="22"/>
          <w:szCs w:val="22"/>
        </w:rPr>
      </w:pPr>
    </w:p>
    <w:p w14:paraId="4490A156" w14:textId="47C78FAC" w:rsidR="00045FF9" w:rsidRDefault="00B1349F" w:rsidP="004B33CA">
      <w:pPr>
        <w:pStyle w:val="BodyText"/>
        <w:contextualSpacing/>
        <w:jc w:val="both"/>
        <w:rPr>
          <w:rFonts w:ascii="Times New Roman" w:hAnsi="Times New Roman" w:cs="Times New Roman"/>
          <w:sz w:val="22"/>
          <w:szCs w:val="22"/>
        </w:rPr>
      </w:pPr>
      <w:r>
        <w:rPr>
          <w:rFonts w:ascii="Times New Roman" w:hAnsi="Times New Roman" w:hint="eastAsia"/>
          <w:sz w:val="22"/>
        </w:rPr>
        <w:t>在調查人確認收到舉報後的合理時間內（但不得超過三</w:t>
      </w:r>
      <w:r>
        <w:rPr>
          <w:rFonts w:ascii="Times New Roman" w:hAnsi="Times New Roman" w:hint="eastAsia"/>
          <w:sz w:val="22"/>
        </w:rPr>
        <w:t xml:space="preserve"> (3) </w:t>
      </w:r>
      <w:r>
        <w:rPr>
          <w:rFonts w:ascii="Times New Roman" w:hAnsi="Times New Roman" w:hint="eastAsia"/>
          <w:sz w:val="22"/>
        </w:rPr>
        <w:t>個月），調查人將向舉報人回饋調查結果以及已經或將會採取的措施，以糾正經調查確認的任何不當行為。</w:t>
      </w:r>
    </w:p>
    <w:p w14:paraId="70A21D88" w14:textId="1653CBAB" w:rsidR="00471D64" w:rsidRDefault="00471D64" w:rsidP="004B33CA">
      <w:pPr>
        <w:pStyle w:val="BodyText"/>
        <w:contextualSpacing/>
        <w:jc w:val="both"/>
        <w:rPr>
          <w:rFonts w:ascii="Times New Roman" w:hAnsi="Times New Roman" w:cs="Times New Roman"/>
          <w:sz w:val="22"/>
          <w:szCs w:val="22"/>
        </w:rPr>
      </w:pPr>
    </w:p>
    <w:p w14:paraId="27B909E8" w14:textId="45C01BB0" w:rsidR="00471D64" w:rsidRPr="004B33CA" w:rsidRDefault="00471D64" w:rsidP="004B33CA">
      <w:pPr>
        <w:pStyle w:val="BodyText"/>
        <w:contextualSpacing/>
        <w:jc w:val="both"/>
        <w:rPr>
          <w:rFonts w:ascii="Times New Roman" w:hAnsi="Times New Roman" w:cs="Times New Roman"/>
          <w:sz w:val="22"/>
          <w:szCs w:val="22"/>
        </w:rPr>
      </w:pPr>
      <w:r>
        <w:rPr>
          <w:rFonts w:ascii="Times New Roman" w:hAnsi="Times New Roman" w:hint="eastAsia"/>
          <w:sz w:val="22"/>
        </w:rPr>
        <w:t>未經舉報人明確書面同意，或除須遵守或調查適用法律規定的情況外，不得向調查人以外的任何人披露舉報人的身分（包括可能識別身分的資訊）。</w:t>
      </w:r>
      <w:r>
        <w:rPr>
          <w:rFonts w:ascii="Times New Roman" w:hAnsi="Times New Roman" w:hint="eastAsia"/>
          <w:sz w:val="22"/>
        </w:rPr>
        <w:t xml:space="preserve">  </w:t>
      </w:r>
      <w:r>
        <w:rPr>
          <w:rFonts w:ascii="Times New Roman" w:hAnsi="Times New Roman" w:hint="eastAsia"/>
          <w:sz w:val="22"/>
        </w:rPr>
        <w:t>舉報人的身分僅可因歐盟法律或其他成員國法律規定的法律義務所需而披露（包括任何司法程序要求的任何披露）。</w:t>
      </w:r>
    </w:p>
    <w:p w14:paraId="7B8A494A" w14:textId="367A417A" w:rsidR="00045FF9" w:rsidRDefault="00045FF9" w:rsidP="00045FF9">
      <w:pPr>
        <w:pStyle w:val="BodyText"/>
        <w:contextualSpacing/>
        <w:jc w:val="both"/>
        <w:rPr>
          <w:rFonts w:ascii="Times New Roman" w:eastAsia="Times New Roman" w:hAnsi="Times New Roman" w:cs="Times New Roman"/>
          <w:spacing w:val="8"/>
          <w:sz w:val="22"/>
          <w:szCs w:val="22"/>
        </w:rPr>
      </w:pPr>
    </w:p>
    <w:p w14:paraId="032A8F0D" w14:textId="72802DE7" w:rsidR="00045FF9" w:rsidRPr="003A60D7" w:rsidRDefault="004B33CA"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hint="eastAsia"/>
          <w:sz w:val="22"/>
        </w:rPr>
        <w:t>外部舉報管道</w:t>
      </w:r>
    </w:p>
    <w:p w14:paraId="12BEA03F" w14:textId="77777777" w:rsidR="00045FF9" w:rsidRPr="003A60D7" w:rsidRDefault="00045FF9" w:rsidP="00045FF9">
      <w:pPr>
        <w:pStyle w:val="BodyText"/>
        <w:contextualSpacing/>
        <w:jc w:val="both"/>
        <w:rPr>
          <w:rFonts w:ascii="Times New Roman" w:eastAsia="Times New Roman" w:hAnsi="Times New Roman" w:cs="Times New Roman"/>
          <w:spacing w:val="8"/>
          <w:sz w:val="22"/>
          <w:szCs w:val="22"/>
        </w:rPr>
      </w:pPr>
    </w:p>
    <w:p w14:paraId="36163F0C" w14:textId="75F313F0" w:rsidR="00045FF9" w:rsidRDefault="003806A0" w:rsidP="00045FF9">
      <w:pPr>
        <w:pStyle w:val="BodyText"/>
        <w:contextualSpacing/>
        <w:jc w:val="both"/>
        <w:rPr>
          <w:rFonts w:ascii="Times New Roman" w:hAnsi="Times New Roman" w:cs="Times New Roman"/>
          <w:sz w:val="22"/>
          <w:szCs w:val="22"/>
        </w:rPr>
      </w:pPr>
      <w:r>
        <w:rPr>
          <w:rFonts w:ascii="Times New Roman" w:hAnsi="Times New Roman" w:hint="eastAsia"/>
          <w:sz w:val="22"/>
        </w:rPr>
        <w:t>依據舉報人指令，歐盟成員國有義務建立自己的違規行為舉報管道。</w:t>
      </w:r>
      <w:r>
        <w:rPr>
          <w:rFonts w:ascii="Times New Roman" w:hAnsi="Times New Roman" w:hint="eastAsia"/>
          <w:sz w:val="22"/>
        </w:rPr>
        <w:t xml:space="preserve">  </w:t>
      </w:r>
      <w:r>
        <w:rPr>
          <w:rFonts w:ascii="Times New Roman" w:hAnsi="Times New Roman" w:hint="eastAsia"/>
          <w:sz w:val="22"/>
        </w:rPr>
        <w:t>舉報人可以選擇透過此類外部舉報管道進行舉報。此類外部舉報管道的可用性、政策及程序將因舉報人所在歐盟成員國而異。</w:t>
      </w:r>
    </w:p>
    <w:p w14:paraId="22B83920" w14:textId="10744CD5" w:rsidR="00026666" w:rsidRDefault="00026666" w:rsidP="00045FF9">
      <w:pPr>
        <w:pStyle w:val="BodyText"/>
        <w:contextualSpacing/>
        <w:jc w:val="both"/>
        <w:rPr>
          <w:rFonts w:ascii="Times New Roman" w:hAnsi="Times New Roman" w:cs="Times New Roman"/>
          <w:sz w:val="22"/>
          <w:szCs w:val="22"/>
        </w:rPr>
      </w:pPr>
    </w:p>
    <w:p w14:paraId="58B43070" w14:textId="142C73F3" w:rsidR="00026666" w:rsidRPr="003A60D7" w:rsidRDefault="00026666" w:rsidP="00045FF9">
      <w:pPr>
        <w:pStyle w:val="BodyText"/>
        <w:contextualSpacing/>
        <w:jc w:val="both"/>
        <w:rPr>
          <w:rFonts w:ascii="Times New Roman" w:hAnsi="Times New Roman" w:cs="Times New Roman"/>
          <w:sz w:val="22"/>
          <w:szCs w:val="22"/>
        </w:rPr>
      </w:pPr>
      <w:r>
        <w:rPr>
          <w:rFonts w:ascii="Times New Roman" w:hAnsi="Times New Roman" w:hint="eastAsia"/>
          <w:sz w:val="22"/>
        </w:rPr>
        <w:t>舉報人可透過內部或外部舉報管道舉報，但</w:t>
      </w:r>
      <w:r>
        <w:rPr>
          <w:rFonts w:ascii="Times New Roman" w:hAnsi="Times New Roman" w:hint="eastAsia"/>
          <w:sz w:val="22"/>
        </w:rPr>
        <w:t xml:space="preserve"> Spectrum Brands </w:t>
      </w:r>
      <w:r>
        <w:rPr>
          <w:rFonts w:ascii="Times New Roman" w:hAnsi="Times New Roman" w:hint="eastAsia"/>
          <w:sz w:val="22"/>
        </w:rPr>
        <w:t>鼓勵首先依據本政策透過內部舉報管道舉報。</w:t>
      </w:r>
    </w:p>
    <w:p w14:paraId="0E7D75A5" w14:textId="77777777" w:rsidR="00045FF9" w:rsidRPr="003A60D7" w:rsidRDefault="00045FF9" w:rsidP="00045FF9">
      <w:pPr>
        <w:pStyle w:val="BodyText"/>
        <w:contextualSpacing/>
        <w:jc w:val="both"/>
        <w:rPr>
          <w:rFonts w:ascii="Times New Roman" w:hAnsi="Times New Roman" w:cs="Times New Roman"/>
          <w:sz w:val="22"/>
          <w:szCs w:val="22"/>
        </w:rPr>
      </w:pPr>
    </w:p>
    <w:p w14:paraId="54A72783" w14:textId="60B1136B" w:rsidR="00BF79DE" w:rsidRPr="00764232" w:rsidRDefault="00764232" w:rsidP="00DA0B59">
      <w:pPr>
        <w:pStyle w:val="BodyText"/>
        <w:numPr>
          <w:ilvl w:val="0"/>
          <w:numId w:val="1"/>
        </w:numPr>
        <w:ind w:left="720"/>
        <w:contextualSpacing/>
        <w:jc w:val="both"/>
        <w:rPr>
          <w:rFonts w:ascii="Times New Roman" w:hAnsi="Times New Roman" w:cs="Times New Roman"/>
          <w:sz w:val="22"/>
          <w:szCs w:val="22"/>
        </w:rPr>
      </w:pPr>
      <w:r>
        <w:rPr>
          <w:rFonts w:ascii="Times New Roman" w:hAnsi="Times New Roman" w:hint="eastAsia"/>
          <w:b/>
          <w:sz w:val="22"/>
        </w:rPr>
        <w:t>禁止報復</w:t>
      </w:r>
    </w:p>
    <w:p w14:paraId="14D58889" w14:textId="68769165" w:rsidR="00764232" w:rsidRDefault="00764232" w:rsidP="00764232">
      <w:pPr>
        <w:pStyle w:val="BodyText"/>
        <w:contextualSpacing/>
        <w:jc w:val="both"/>
        <w:rPr>
          <w:rFonts w:ascii="Times New Roman" w:hAnsi="Times New Roman" w:cs="Times New Roman"/>
          <w:sz w:val="22"/>
          <w:szCs w:val="22"/>
        </w:rPr>
      </w:pPr>
    </w:p>
    <w:p w14:paraId="27B4B406" w14:textId="0950D8B3" w:rsidR="00764232" w:rsidRDefault="007F2295" w:rsidP="00764232">
      <w:pPr>
        <w:pStyle w:val="BodyText"/>
        <w:contextualSpacing/>
        <w:jc w:val="both"/>
        <w:rPr>
          <w:rFonts w:ascii="Times New Roman" w:hAnsi="Times New Roman" w:cs="Times New Roman"/>
          <w:sz w:val="22"/>
          <w:szCs w:val="22"/>
        </w:rPr>
      </w:pPr>
      <w:r>
        <w:rPr>
          <w:rFonts w:ascii="Times New Roman" w:hAnsi="Times New Roman" w:hint="eastAsia"/>
          <w:sz w:val="22"/>
        </w:rPr>
        <w:t>在任何情況下，</w:t>
      </w:r>
      <w:r>
        <w:rPr>
          <w:rFonts w:ascii="Times New Roman" w:hAnsi="Times New Roman" w:hint="eastAsia"/>
          <w:sz w:val="22"/>
        </w:rPr>
        <w:t xml:space="preserve">Spectrum Brands </w:t>
      </w:r>
      <w:r>
        <w:rPr>
          <w:rFonts w:ascii="Times New Roman" w:hAnsi="Times New Roman" w:hint="eastAsia"/>
          <w:sz w:val="22"/>
        </w:rPr>
        <w:t>的任何員工、股東或代表</w:t>
      </w:r>
      <w:r>
        <w:rPr>
          <w:rFonts w:ascii="Times New Roman" w:hAnsi="Times New Roman" w:hint="eastAsia"/>
          <w:sz w:val="22"/>
        </w:rPr>
        <w:t xml:space="preserve"> Spectrum Brands </w:t>
      </w:r>
      <w:r>
        <w:rPr>
          <w:rFonts w:ascii="Times New Roman" w:hAnsi="Times New Roman" w:hint="eastAsia"/>
          <w:sz w:val="22"/>
        </w:rPr>
        <w:t>行事的任何個人均不得因任何舉報人提出舉報而以任何方式對其進行報復。這包括但不限於以下行動：</w:t>
      </w:r>
      <w:r>
        <w:rPr>
          <w:rFonts w:ascii="Times New Roman" w:hAnsi="Times New Roman" w:hint="eastAsia"/>
          <w:sz w:val="22"/>
        </w:rPr>
        <w:t xml:space="preserve">(i) </w:t>
      </w:r>
      <w:r>
        <w:rPr>
          <w:rFonts w:ascii="Times New Roman" w:hAnsi="Times New Roman" w:hint="eastAsia"/>
          <w:sz w:val="22"/>
        </w:rPr>
        <w:t>停職、裁員、解僱或同等行為，</w:t>
      </w:r>
      <w:r>
        <w:rPr>
          <w:rFonts w:ascii="Times New Roman" w:hAnsi="Times New Roman" w:hint="eastAsia"/>
          <w:sz w:val="22"/>
        </w:rPr>
        <w:t xml:space="preserve">(ii) </w:t>
      </w:r>
      <w:r>
        <w:rPr>
          <w:rFonts w:ascii="Times New Roman" w:hAnsi="Times New Roman" w:hint="eastAsia"/>
          <w:sz w:val="22"/>
        </w:rPr>
        <w:t>降職或阻止晉升，</w:t>
      </w:r>
      <w:r>
        <w:rPr>
          <w:rFonts w:ascii="Times New Roman" w:hAnsi="Times New Roman" w:hint="eastAsia"/>
          <w:sz w:val="22"/>
        </w:rPr>
        <w:t xml:space="preserve">(iii) </w:t>
      </w:r>
      <w:r>
        <w:rPr>
          <w:rFonts w:ascii="Times New Roman" w:hAnsi="Times New Roman" w:hint="eastAsia"/>
          <w:sz w:val="22"/>
        </w:rPr>
        <w:t>調崗、更改工作地點、降薪或更改工作時間，</w:t>
      </w:r>
      <w:r>
        <w:rPr>
          <w:rFonts w:ascii="Times New Roman" w:hAnsi="Times New Roman" w:hint="eastAsia"/>
          <w:sz w:val="22"/>
        </w:rPr>
        <w:t xml:space="preserve">(iv) </w:t>
      </w:r>
      <w:r>
        <w:rPr>
          <w:rFonts w:ascii="Times New Roman" w:hAnsi="Times New Roman" w:hint="eastAsia"/>
          <w:sz w:val="22"/>
        </w:rPr>
        <w:t>阻止培訓，</w:t>
      </w:r>
      <w:r>
        <w:rPr>
          <w:rFonts w:ascii="Times New Roman" w:hAnsi="Times New Roman" w:hint="eastAsia"/>
          <w:sz w:val="22"/>
        </w:rPr>
        <w:t xml:space="preserve">(v) </w:t>
      </w:r>
      <w:r>
        <w:rPr>
          <w:rFonts w:ascii="Times New Roman" w:hAnsi="Times New Roman" w:hint="eastAsia"/>
          <w:sz w:val="22"/>
        </w:rPr>
        <w:t>做出負面績效評估或就業推薦，</w:t>
      </w:r>
      <w:r>
        <w:rPr>
          <w:rFonts w:ascii="Times New Roman" w:hAnsi="Times New Roman" w:hint="eastAsia"/>
          <w:sz w:val="22"/>
        </w:rPr>
        <w:t xml:space="preserve">(vi) </w:t>
      </w:r>
      <w:r>
        <w:rPr>
          <w:rFonts w:ascii="Times New Roman" w:hAnsi="Times New Roman" w:hint="eastAsia"/>
          <w:sz w:val="22"/>
        </w:rPr>
        <w:t>施加任何紀律處分或處罰，包括任何形式的財務處罰，</w:t>
      </w:r>
      <w:r>
        <w:rPr>
          <w:rFonts w:ascii="Times New Roman" w:hAnsi="Times New Roman" w:hint="eastAsia"/>
          <w:sz w:val="22"/>
        </w:rPr>
        <w:t xml:space="preserve">(vii) </w:t>
      </w:r>
      <w:r>
        <w:rPr>
          <w:rFonts w:ascii="Times New Roman" w:hAnsi="Times New Roman" w:hint="eastAsia"/>
          <w:sz w:val="22"/>
        </w:rPr>
        <w:t>恐嚇、騷擾或孤立舉報人，</w:t>
      </w:r>
      <w:r>
        <w:rPr>
          <w:rFonts w:ascii="Times New Roman" w:hAnsi="Times New Roman" w:hint="eastAsia"/>
          <w:sz w:val="22"/>
        </w:rPr>
        <w:t xml:space="preserve">(viii) </w:t>
      </w:r>
      <w:r>
        <w:rPr>
          <w:rFonts w:ascii="Times New Roman" w:hAnsi="Times New Roman" w:hint="eastAsia"/>
          <w:sz w:val="22"/>
        </w:rPr>
        <w:t>歧視舉報人或對其施以相對於類似崗位的其他人而言不公平的待遇，</w:t>
      </w:r>
      <w:r>
        <w:rPr>
          <w:rFonts w:ascii="Times New Roman" w:hAnsi="Times New Roman" w:hint="eastAsia"/>
          <w:sz w:val="22"/>
        </w:rPr>
        <w:t xml:space="preserve">(ix) </w:t>
      </w:r>
      <w:r>
        <w:rPr>
          <w:rFonts w:ascii="Times New Roman" w:hAnsi="Times New Roman" w:hint="eastAsia"/>
          <w:sz w:val="22"/>
        </w:rPr>
        <w:t>在舉報人有合理期望從臨時合同轉為長期合同的情況下仍不予轉正，</w:t>
      </w:r>
      <w:r>
        <w:rPr>
          <w:rFonts w:ascii="Times New Roman" w:hAnsi="Times New Roman" w:hint="eastAsia"/>
          <w:sz w:val="22"/>
        </w:rPr>
        <w:t xml:space="preserve">(x) </w:t>
      </w:r>
      <w:r>
        <w:rPr>
          <w:rFonts w:ascii="Times New Roman" w:hAnsi="Times New Roman" w:hint="eastAsia"/>
          <w:sz w:val="22"/>
        </w:rPr>
        <w:t>拒絕</w:t>
      </w:r>
      <w:r>
        <w:rPr>
          <w:rFonts w:ascii="Times New Roman" w:hAnsi="Times New Roman" w:hint="eastAsia"/>
          <w:sz w:val="22"/>
        </w:rPr>
        <w:lastRenderedPageBreak/>
        <w:t>重續或提前終止臨時合同，</w:t>
      </w:r>
      <w:r>
        <w:rPr>
          <w:rFonts w:ascii="Times New Roman" w:hAnsi="Times New Roman" w:hint="eastAsia"/>
          <w:sz w:val="22"/>
        </w:rPr>
        <w:t xml:space="preserve">(xi) </w:t>
      </w:r>
      <w:r>
        <w:rPr>
          <w:rFonts w:ascii="Times New Roman" w:hAnsi="Times New Roman" w:hint="eastAsia"/>
          <w:sz w:val="22"/>
        </w:rPr>
        <w:t>損害舉報人的聲譽（不論是在社交媒體上還是透過其他方式），</w:t>
      </w:r>
      <w:r>
        <w:rPr>
          <w:rFonts w:ascii="Times New Roman" w:hAnsi="Times New Roman" w:hint="eastAsia"/>
          <w:sz w:val="22"/>
        </w:rPr>
        <w:t xml:space="preserve">(xii) </w:t>
      </w:r>
      <w:r>
        <w:rPr>
          <w:rFonts w:ascii="Times New Roman" w:hAnsi="Times New Roman" w:hint="eastAsia"/>
          <w:sz w:val="22"/>
        </w:rPr>
        <w:t>將舉報人列入全行業協議黑名單（無論正式還是非正式），</w:t>
      </w:r>
      <w:r>
        <w:rPr>
          <w:rFonts w:ascii="Times New Roman" w:hAnsi="Times New Roman" w:hint="eastAsia"/>
          <w:sz w:val="22"/>
        </w:rPr>
        <w:t xml:space="preserve">(xiii) </w:t>
      </w:r>
      <w:r>
        <w:rPr>
          <w:rFonts w:ascii="Times New Roman" w:hAnsi="Times New Roman" w:hint="eastAsia"/>
          <w:sz w:val="22"/>
        </w:rPr>
        <w:t>提前終止或取消與舉報人或相關實體的合同，</w:t>
      </w:r>
      <w:r>
        <w:rPr>
          <w:rFonts w:ascii="Times New Roman" w:hAnsi="Times New Roman" w:hint="eastAsia"/>
          <w:sz w:val="22"/>
        </w:rPr>
        <w:t xml:space="preserve">(xiv) </w:t>
      </w:r>
      <w:r>
        <w:rPr>
          <w:rFonts w:ascii="Times New Roman" w:hAnsi="Times New Roman" w:hint="eastAsia"/>
          <w:sz w:val="22"/>
        </w:rPr>
        <w:t>取消任何牌照或許可證，</w:t>
      </w:r>
      <w:r>
        <w:rPr>
          <w:rFonts w:ascii="Times New Roman" w:hAnsi="Times New Roman" w:hint="eastAsia"/>
          <w:sz w:val="22"/>
        </w:rPr>
        <w:t xml:space="preserve">(xv) </w:t>
      </w:r>
      <w:r>
        <w:rPr>
          <w:rFonts w:ascii="Times New Roman" w:hAnsi="Times New Roman" w:hint="eastAsia"/>
          <w:sz w:val="22"/>
        </w:rPr>
        <w:t>將舉報人送入精神科或醫療救助機構。</w:t>
      </w:r>
    </w:p>
    <w:p w14:paraId="56D0F959" w14:textId="29FAA7A5" w:rsidR="00764232" w:rsidRDefault="00764232" w:rsidP="00764232">
      <w:pPr>
        <w:pStyle w:val="BodyText"/>
        <w:contextualSpacing/>
        <w:jc w:val="both"/>
        <w:rPr>
          <w:rFonts w:ascii="Times New Roman" w:hAnsi="Times New Roman" w:cs="Times New Roman"/>
          <w:sz w:val="22"/>
          <w:szCs w:val="22"/>
        </w:rPr>
      </w:pPr>
    </w:p>
    <w:p w14:paraId="0FFE3664" w14:textId="189078E0" w:rsidR="00764232" w:rsidRDefault="00B071E5" w:rsidP="00764232">
      <w:pPr>
        <w:pStyle w:val="BodyText"/>
        <w:contextualSpacing/>
        <w:jc w:val="both"/>
        <w:rPr>
          <w:rFonts w:ascii="Times New Roman" w:hAnsi="Times New Roman" w:cs="Times New Roman"/>
          <w:sz w:val="22"/>
          <w:szCs w:val="22"/>
        </w:rPr>
      </w:pPr>
      <w:r>
        <w:rPr>
          <w:rFonts w:ascii="Times New Roman" w:hAnsi="Times New Roman" w:hint="eastAsia"/>
          <w:sz w:val="22"/>
        </w:rPr>
        <w:t>若有權對舉報人採取任何上述行動的任何個人認為，上述任何措施屬適當，或者若非有本政策，舉報人將會受到上述任何措施的懲罰，則其必須立即與</w:t>
      </w:r>
      <w:r>
        <w:rPr>
          <w:rFonts w:ascii="Times New Roman" w:hAnsi="Times New Roman" w:hint="eastAsia"/>
          <w:sz w:val="22"/>
        </w:rPr>
        <w:t xml:space="preserve"> Spectrum Brands </w:t>
      </w:r>
      <w:r>
        <w:rPr>
          <w:rFonts w:ascii="Times New Roman" w:hAnsi="Times New Roman" w:hint="eastAsia"/>
          <w:sz w:val="22"/>
        </w:rPr>
        <w:t>總法律顧問或其指定人士聯絡。</w:t>
      </w:r>
    </w:p>
    <w:p w14:paraId="19372C27" w14:textId="77777777" w:rsidR="00764232" w:rsidRPr="0053710B" w:rsidRDefault="00764232" w:rsidP="00764232">
      <w:pPr>
        <w:pStyle w:val="BodyText"/>
        <w:contextualSpacing/>
        <w:jc w:val="both"/>
        <w:rPr>
          <w:rFonts w:ascii="Times New Roman" w:hAnsi="Times New Roman" w:cs="Times New Roman"/>
          <w:sz w:val="22"/>
          <w:szCs w:val="22"/>
        </w:rPr>
      </w:pPr>
    </w:p>
    <w:tbl>
      <w:tblPr>
        <w:tblStyle w:val="TableGrid"/>
        <w:tblW w:w="9360" w:type="dxa"/>
        <w:tblInd w:w="108" w:type="dxa"/>
        <w:tblLook w:val="04A0" w:firstRow="1" w:lastRow="0" w:firstColumn="1" w:lastColumn="0" w:noHBand="0" w:noVBand="1"/>
      </w:tblPr>
      <w:tblGrid>
        <w:gridCol w:w="9360"/>
      </w:tblGrid>
      <w:tr w:rsidR="00045FF9" w:rsidRPr="00223647" w14:paraId="1F0E7676" w14:textId="77777777" w:rsidTr="009E7712">
        <w:tc>
          <w:tcPr>
            <w:tcW w:w="9360" w:type="dxa"/>
          </w:tcPr>
          <w:p w14:paraId="4008721C" w14:textId="0721F498" w:rsidR="00045FF9" w:rsidRPr="00F862D2" w:rsidRDefault="000871CB" w:rsidP="009E7712">
            <w:pPr>
              <w:pStyle w:val="BodyText"/>
              <w:spacing w:before="6"/>
              <w:contextualSpacing/>
              <w:rPr>
                <w:rFonts w:ascii="Times New Roman" w:hAnsi="Times New Roman" w:cs="Times New Roman"/>
                <w:b/>
                <w:sz w:val="22"/>
                <w:szCs w:val="22"/>
              </w:rPr>
            </w:pPr>
            <w:r>
              <w:rPr>
                <w:rFonts w:ascii="Times New Roman" w:hAnsi="Times New Roman" w:hint="eastAsia"/>
                <w:b/>
                <w:sz w:val="22"/>
              </w:rPr>
              <w:t>處理舉報和資料留存的一般規則</w:t>
            </w:r>
          </w:p>
        </w:tc>
      </w:tr>
    </w:tbl>
    <w:p w14:paraId="08E361FD" w14:textId="77777777" w:rsidR="00045FF9" w:rsidRDefault="00045FF9" w:rsidP="00045FF9">
      <w:pPr>
        <w:rPr>
          <w:rFonts w:ascii="Times New Roman" w:hAnsi="Times New Roman" w:cs="Times New Roman"/>
        </w:rPr>
      </w:pPr>
    </w:p>
    <w:p w14:paraId="1632E793" w14:textId="29397A39" w:rsidR="00045FF9" w:rsidRDefault="00D6642E" w:rsidP="00045FF9">
      <w:pPr>
        <w:jc w:val="both"/>
        <w:rPr>
          <w:rFonts w:ascii="Times New Roman" w:hAnsi="Times New Roman" w:cs="Times New Roman"/>
        </w:rPr>
      </w:pPr>
      <w:r>
        <w:rPr>
          <w:rFonts w:ascii="Times New Roman" w:hAnsi="Times New Roman" w:hint="eastAsia"/>
        </w:rPr>
        <w:t>任何識別或可識別舉報人的個人資訊必須按照</w:t>
      </w:r>
      <w:r>
        <w:rPr>
          <w:rFonts w:ascii="Times New Roman" w:hAnsi="Times New Roman" w:hint="eastAsia"/>
        </w:rPr>
        <w:t xml:space="preserve"> 2016/679 </w:t>
      </w:r>
      <w:r>
        <w:rPr>
          <w:rFonts w:ascii="Times New Roman" w:hAnsi="Times New Roman" w:hint="eastAsia"/>
        </w:rPr>
        <w:t>號《通用資料保護條例》（也稱為</w:t>
      </w:r>
      <w:r>
        <w:rPr>
          <w:rFonts w:ascii="Times New Roman" w:hAnsi="Times New Roman" w:hint="eastAsia"/>
        </w:rPr>
        <w:t xml:space="preserve"> GDPR</w:t>
      </w:r>
      <w:r>
        <w:rPr>
          <w:rFonts w:ascii="Times New Roman" w:hAnsi="Times New Roman" w:hint="eastAsia"/>
        </w:rPr>
        <w:t>）之規定進行處理。不得收集與舉報調查全然無關的個人資料；若已收集，應立即刪除。</w:t>
      </w:r>
    </w:p>
    <w:p w14:paraId="429CE415" w14:textId="17E6C6A8" w:rsidR="0072233E" w:rsidRDefault="0072233E" w:rsidP="00045FF9">
      <w:pPr>
        <w:jc w:val="both"/>
        <w:rPr>
          <w:rFonts w:ascii="Times New Roman" w:hAnsi="Times New Roman" w:cs="Times New Roman"/>
        </w:rPr>
      </w:pPr>
    </w:p>
    <w:p w14:paraId="0B5FEA62" w14:textId="7E3A6D91" w:rsidR="0072233E" w:rsidRPr="0053710B" w:rsidRDefault="00F05EF4" w:rsidP="00045FF9">
      <w:pPr>
        <w:jc w:val="both"/>
        <w:rPr>
          <w:rFonts w:ascii="Times New Roman" w:hAnsi="Times New Roman" w:cs="Times New Roman"/>
        </w:rPr>
      </w:pPr>
      <w:r>
        <w:rPr>
          <w:rFonts w:ascii="Times New Roman" w:hAnsi="Times New Roman" w:hint="eastAsia"/>
        </w:rPr>
        <w:t xml:space="preserve">Spectrum Brands </w:t>
      </w:r>
      <w:r>
        <w:rPr>
          <w:rFonts w:ascii="Times New Roman" w:hAnsi="Times New Roman" w:hint="eastAsia"/>
        </w:rPr>
        <w:t>應以安全保密的方式儲存所收到的每份報告的記錄。可能合理成為法律訴訟主體的報告將儲存至相關法律訴訟完成最終處置或訴訟時效已過為止。在本公司的記錄儲存規定和適用法律義務所允許的範圍內，不會合理成為任何進一步的法律訴訟、外部調查或其他舉報主體的舉報，將連同任何相關檔，於調查結束後立即銷毀。</w:t>
      </w:r>
      <w:r>
        <w:rPr>
          <w:rFonts w:ascii="Times New Roman" w:hAnsi="Times New Roman" w:hint="eastAsia"/>
        </w:rPr>
        <w:t xml:space="preserve"> </w:t>
      </w:r>
    </w:p>
    <w:p w14:paraId="39EAC2E0" w14:textId="77777777" w:rsidR="00045FF9" w:rsidRPr="0053710B" w:rsidRDefault="00045FF9" w:rsidP="00045FF9">
      <w:pPr>
        <w:pStyle w:val="BodyText"/>
        <w:contextualSpacing/>
        <w:jc w:val="both"/>
        <w:rPr>
          <w:rFonts w:ascii="Times New Roman" w:hAnsi="Times New Roman" w:cs="Times New Roman"/>
          <w:b/>
          <w:bCs/>
          <w:sz w:val="22"/>
          <w:szCs w:val="22"/>
        </w:rPr>
      </w:pPr>
    </w:p>
    <w:tbl>
      <w:tblPr>
        <w:tblStyle w:val="TableGrid"/>
        <w:tblW w:w="9360" w:type="dxa"/>
        <w:tblInd w:w="108" w:type="dxa"/>
        <w:tblLook w:val="04A0" w:firstRow="1" w:lastRow="0" w:firstColumn="1" w:lastColumn="0" w:noHBand="0" w:noVBand="1"/>
      </w:tblPr>
      <w:tblGrid>
        <w:gridCol w:w="9360"/>
      </w:tblGrid>
      <w:tr w:rsidR="00045FF9" w:rsidRPr="0053710B" w14:paraId="67D8FB38" w14:textId="77777777" w:rsidTr="009E7712">
        <w:tc>
          <w:tcPr>
            <w:tcW w:w="9360" w:type="dxa"/>
          </w:tcPr>
          <w:p w14:paraId="7E42E85C" w14:textId="77777777" w:rsidR="00045FF9" w:rsidRPr="00F862D2" w:rsidRDefault="00045FF9" w:rsidP="009E7712">
            <w:pPr>
              <w:pStyle w:val="BodyText"/>
              <w:spacing w:before="6"/>
              <w:contextualSpacing/>
              <w:rPr>
                <w:rFonts w:ascii="Times New Roman" w:hAnsi="Times New Roman" w:cs="Times New Roman"/>
                <w:b/>
                <w:sz w:val="22"/>
                <w:szCs w:val="22"/>
              </w:rPr>
            </w:pPr>
            <w:bookmarkStart w:id="0" w:name="_Hlk68174472"/>
            <w:r>
              <w:rPr>
                <w:rFonts w:ascii="Times New Roman" w:hAnsi="Times New Roman" w:hint="eastAsia"/>
                <w:b/>
                <w:sz w:val="22"/>
              </w:rPr>
              <w:t>政策合規</w:t>
            </w:r>
            <w:r>
              <w:rPr>
                <w:rFonts w:ascii="Times New Roman" w:hAnsi="Times New Roman" w:hint="eastAsia"/>
                <w:b/>
                <w:sz w:val="22"/>
              </w:rPr>
              <w:t>/</w:t>
            </w:r>
            <w:r>
              <w:rPr>
                <w:rFonts w:ascii="Times New Roman" w:hAnsi="Times New Roman" w:hint="eastAsia"/>
                <w:b/>
                <w:sz w:val="22"/>
              </w:rPr>
              <w:t>違規處分</w:t>
            </w:r>
          </w:p>
        </w:tc>
      </w:tr>
      <w:bookmarkEnd w:id="0"/>
    </w:tbl>
    <w:p w14:paraId="0A2A7F78" w14:textId="77777777" w:rsidR="00045FF9" w:rsidRPr="0053710B" w:rsidRDefault="00045FF9" w:rsidP="00045FF9">
      <w:pPr>
        <w:pStyle w:val="BodyText"/>
        <w:spacing w:before="6"/>
        <w:contextualSpacing/>
        <w:rPr>
          <w:rFonts w:ascii="Times New Roman" w:hAnsi="Times New Roman" w:cs="Times New Roman"/>
          <w:bCs/>
          <w:sz w:val="22"/>
          <w:szCs w:val="22"/>
        </w:rPr>
      </w:pPr>
    </w:p>
    <w:p w14:paraId="1B68D631" w14:textId="5157F5B7" w:rsidR="00045FF9" w:rsidRPr="00F862D2" w:rsidRDefault="00045FF9" w:rsidP="00045FF9">
      <w:pPr>
        <w:pStyle w:val="BodyText"/>
        <w:spacing w:before="1"/>
        <w:contextualSpacing/>
        <w:jc w:val="both"/>
        <w:rPr>
          <w:rFonts w:ascii="Times New Roman" w:hAnsi="Times New Roman" w:cs="Times New Roman"/>
          <w:sz w:val="22"/>
          <w:szCs w:val="22"/>
        </w:rPr>
      </w:pPr>
      <w:r>
        <w:rPr>
          <w:rFonts w:ascii="Times New Roman" w:hAnsi="Times New Roman" w:hint="eastAsia"/>
          <w:sz w:val="22"/>
        </w:rPr>
        <w:t>違反本政策或任何其他雇主的類似政策的任何員工可能會受到紀律處分，甚至被解僱。此外，違反本政策可能導致嚴重後果，包括刑事起訴。任何員工若對遵守本政策存在顧慮或疑問，應在採取任何進一步行動前立即與</w:t>
      </w:r>
      <w:r>
        <w:rPr>
          <w:rFonts w:ascii="Times New Roman" w:hAnsi="Times New Roman" w:hint="eastAsia"/>
          <w:sz w:val="22"/>
        </w:rPr>
        <w:t xml:space="preserve"> LRM </w:t>
      </w:r>
      <w:r>
        <w:rPr>
          <w:rFonts w:ascii="Times New Roman" w:hAnsi="Times New Roman" w:hint="eastAsia"/>
          <w:sz w:val="22"/>
        </w:rPr>
        <w:t>聯絡。</w:t>
      </w:r>
      <w:r>
        <w:rPr>
          <w:rFonts w:ascii="Times New Roman" w:hAnsi="Times New Roman" w:hint="eastAsia"/>
          <w:sz w:val="22"/>
        </w:rPr>
        <w:t xml:space="preserve">LRM </w:t>
      </w:r>
      <w:r>
        <w:rPr>
          <w:rFonts w:ascii="Times New Roman" w:hAnsi="Times New Roman" w:hint="eastAsia"/>
          <w:sz w:val="22"/>
        </w:rPr>
        <w:t>將評估具體情況，並決定所需採取的糾正措施（若有）。</w:t>
      </w:r>
    </w:p>
    <w:p w14:paraId="1FEDE71A" w14:textId="77777777" w:rsidR="00045FF9" w:rsidRPr="00F862D2" w:rsidRDefault="00045FF9" w:rsidP="00045FF9">
      <w:pPr>
        <w:pStyle w:val="BodyText"/>
        <w:spacing w:before="1"/>
        <w:contextualSpacing/>
        <w:jc w:val="both"/>
        <w:rPr>
          <w:rFonts w:ascii="Times New Roman" w:hAnsi="Times New Roman" w:cs="Times New Roman"/>
          <w:sz w:val="22"/>
          <w:szCs w:val="22"/>
        </w:rPr>
      </w:pPr>
    </w:p>
    <w:p w14:paraId="04C786FF" w14:textId="766B136A" w:rsidR="00045FF9" w:rsidRPr="00F862D2" w:rsidRDefault="00045FF9" w:rsidP="00045FF9">
      <w:pPr>
        <w:jc w:val="both"/>
        <w:rPr>
          <w:rFonts w:ascii="Times New Roman" w:hAnsi="Times New Roman" w:cs="Times New Roman"/>
          <w:i/>
        </w:rPr>
      </w:pPr>
      <w:r>
        <w:rPr>
          <w:rFonts w:hint="eastAsia"/>
        </w:rPr>
        <w:t>未經</w:t>
      </w:r>
      <w:r>
        <w:rPr>
          <w:rFonts w:hint="eastAsia"/>
        </w:rPr>
        <w:t xml:space="preserve"> </w:t>
      </w:r>
      <w:bookmarkStart w:id="1" w:name="_Hlk96700489"/>
      <w:r>
        <w:rPr>
          <w:rFonts w:ascii="Times New Roman" w:hAnsi="Times New Roman" w:hint="eastAsia"/>
        </w:rPr>
        <w:t xml:space="preserve">Spectrum Brands </w:t>
      </w:r>
      <w:r>
        <w:rPr>
          <w:rFonts w:ascii="Times New Roman" w:hAnsi="Times New Roman" w:hint="eastAsia"/>
        </w:rPr>
        <w:t>總法律顧問</w:t>
      </w:r>
      <w:bookmarkEnd w:id="1"/>
      <w:r>
        <w:rPr>
          <w:rFonts w:ascii="Times New Roman" w:hAnsi="Times New Roman" w:hint="eastAsia"/>
        </w:rPr>
        <w:t>或其指定人士明確事先書面許可，本政策不得有任何偏離。</w:t>
      </w:r>
      <w:r>
        <w:rPr>
          <w:rFonts w:ascii="Times New Roman" w:hAnsi="Times New Roman" w:hint="eastAsia"/>
        </w:rPr>
        <w:t xml:space="preserve"> </w:t>
      </w:r>
    </w:p>
    <w:p w14:paraId="7592A11A" w14:textId="77777777" w:rsidR="00045FF9" w:rsidRPr="003A60D7" w:rsidRDefault="00045FF9" w:rsidP="00045FF9">
      <w:pPr>
        <w:pStyle w:val="BodyText"/>
        <w:spacing w:before="1"/>
        <w:contextualSpacing/>
        <w:jc w:val="both"/>
        <w:rPr>
          <w:rFonts w:ascii="Times New Roman" w:hAnsi="Times New Roman" w:cs="Times New Roman"/>
          <w:sz w:val="22"/>
          <w:szCs w:val="22"/>
        </w:rPr>
      </w:pPr>
    </w:p>
    <w:p w14:paraId="153B52B1"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7093343D" w14:textId="77777777" w:rsidTr="009E7712">
        <w:tc>
          <w:tcPr>
            <w:tcW w:w="9360" w:type="dxa"/>
          </w:tcPr>
          <w:p w14:paraId="1FE007AD"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hint="eastAsia"/>
                <w:b/>
                <w:sz w:val="22"/>
              </w:rPr>
              <w:t>聯絡資訊</w:t>
            </w:r>
          </w:p>
        </w:tc>
      </w:tr>
    </w:tbl>
    <w:p w14:paraId="5A47F16F" w14:textId="77777777" w:rsidR="00045FF9" w:rsidRPr="003A60D7" w:rsidRDefault="00045FF9" w:rsidP="00045FF9">
      <w:pPr>
        <w:pStyle w:val="BodyText"/>
        <w:contextualSpacing/>
        <w:rPr>
          <w:rFonts w:ascii="Times New Roman" w:hAnsi="Times New Roman" w:cs="Times New Roman"/>
          <w:sz w:val="22"/>
          <w:szCs w:val="22"/>
        </w:rPr>
      </w:pPr>
    </w:p>
    <w:p w14:paraId="1506111C" w14:textId="77777777" w:rsidR="00045FF9" w:rsidRPr="003A60D7" w:rsidRDefault="00045FF9" w:rsidP="00045FF9">
      <w:pPr>
        <w:pStyle w:val="Heading1"/>
        <w:spacing w:before="42" w:after="11"/>
        <w:ind w:left="0"/>
        <w:contextualSpacing/>
        <w:rPr>
          <w:rFonts w:ascii="Times New Roman" w:hAnsi="Times New Roman" w:cs="Times New Roman"/>
          <w:sz w:val="22"/>
          <w:szCs w:val="22"/>
        </w:rPr>
      </w:pPr>
      <w:r>
        <w:rPr>
          <w:rFonts w:ascii="Times New Roman" w:hAnsi="Times New Roman" w:hint="eastAsia"/>
          <w:sz w:val="22"/>
        </w:rPr>
        <w:t>聯絡資訊</w:t>
      </w:r>
    </w:p>
    <w:p w14:paraId="24CB1439"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Spectrum Brands, Inc.</w:t>
      </w:r>
    </w:p>
    <w:p w14:paraId="1DD39943"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收件人：總法律顧問</w:t>
      </w:r>
    </w:p>
    <w:p w14:paraId="59AB6EE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3001 Deming Way</w:t>
      </w:r>
    </w:p>
    <w:p w14:paraId="20CADD1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Middleton, WI 53562</w:t>
      </w:r>
    </w:p>
    <w:p w14:paraId="2190FCF9" w14:textId="77777777" w:rsidR="00045FF9" w:rsidRPr="003A60D7" w:rsidRDefault="00045FF9" w:rsidP="00045FF9">
      <w:pPr>
        <w:pStyle w:val="BodyText"/>
        <w:contextualSpacing/>
        <w:rPr>
          <w:rFonts w:ascii="Times New Roman" w:hAnsi="Times New Roman" w:cs="Times New Roman"/>
          <w:bCs/>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53C07DB3" w14:textId="77777777" w:rsidTr="009E7712">
        <w:tc>
          <w:tcPr>
            <w:tcW w:w="9360" w:type="dxa"/>
          </w:tcPr>
          <w:p w14:paraId="52459DB8" w14:textId="77777777" w:rsidR="00045FF9" w:rsidRPr="003A60D7" w:rsidRDefault="00045FF9" w:rsidP="009E7712">
            <w:pPr>
              <w:pStyle w:val="BodyText"/>
              <w:spacing w:before="4"/>
              <w:contextualSpacing/>
              <w:rPr>
                <w:rFonts w:ascii="Times New Roman" w:hAnsi="Times New Roman" w:cs="Times New Roman"/>
                <w:b/>
                <w:sz w:val="22"/>
                <w:szCs w:val="22"/>
              </w:rPr>
            </w:pPr>
            <w:r>
              <w:rPr>
                <w:rFonts w:ascii="Times New Roman" w:hAnsi="Times New Roman" w:hint="eastAsia"/>
                <w:b/>
                <w:sz w:val="22"/>
              </w:rPr>
              <w:t>相關資訊</w:t>
            </w:r>
          </w:p>
        </w:tc>
      </w:tr>
    </w:tbl>
    <w:p w14:paraId="1AA31E69" w14:textId="77777777" w:rsidR="00045FF9" w:rsidRPr="00883412" w:rsidRDefault="00045FF9" w:rsidP="00045FF9">
      <w:pPr>
        <w:spacing w:before="226"/>
        <w:contextualSpacing/>
        <w:rPr>
          <w:rFonts w:ascii="Times New Roman" w:hAnsi="Times New Roman" w:cs="Times New Roman"/>
          <w:bCs/>
          <w:w w:val="105"/>
        </w:rPr>
      </w:pPr>
    </w:p>
    <w:p w14:paraId="7ED26893" w14:textId="77777777" w:rsidR="00045FF9" w:rsidRPr="003A60D7" w:rsidRDefault="00045FF9" w:rsidP="00045FF9">
      <w:pPr>
        <w:spacing w:before="226"/>
        <w:contextualSpacing/>
        <w:rPr>
          <w:rFonts w:ascii="Times New Roman" w:hAnsi="Times New Roman" w:cs="Times New Roman"/>
          <w:b/>
        </w:rPr>
      </w:pPr>
      <w:r>
        <w:rPr>
          <w:rFonts w:ascii="Times New Roman" w:hAnsi="Times New Roman" w:hint="eastAsia"/>
          <w:b/>
        </w:rPr>
        <w:t xml:space="preserve">Spectrum Brands </w:t>
      </w:r>
      <w:r>
        <w:rPr>
          <w:rFonts w:ascii="Times New Roman" w:hAnsi="Times New Roman" w:hint="eastAsia"/>
          <w:b/>
        </w:rPr>
        <w:t>文件：</w:t>
      </w:r>
    </w:p>
    <w:p w14:paraId="6902C5B6" w14:textId="77777777" w:rsidR="00045FF9" w:rsidRDefault="00045FF9" w:rsidP="00045FF9">
      <w:pPr>
        <w:pStyle w:val="PolicyInfotext"/>
        <w:rPr>
          <w:sz w:val="24"/>
          <w:szCs w:val="24"/>
        </w:rPr>
      </w:pPr>
      <w:proofErr w:type="spellStart"/>
      <w:r>
        <w:rPr>
          <w:rFonts w:hint="eastAsia"/>
          <w:sz w:val="24"/>
        </w:rPr>
        <w:t>商業行為與道德守則</w:t>
      </w:r>
      <w:proofErr w:type="spellEnd"/>
      <w:r>
        <w:rPr>
          <w:rFonts w:hint="eastAsia"/>
          <w:sz w:val="24"/>
        </w:rPr>
        <w:t xml:space="preserve"> </w:t>
      </w:r>
    </w:p>
    <w:p w14:paraId="2A67D021" w14:textId="77777777" w:rsidR="00045FF9" w:rsidRPr="00342B45" w:rsidRDefault="00045FF9" w:rsidP="00045FF9">
      <w:pPr>
        <w:pStyle w:val="PolicyInfotext"/>
        <w:rPr>
          <w:sz w:val="24"/>
          <w:szCs w:val="24"/>
        </w:rPr>
      </w:pPr>
      <w:proofErr w:type="spellStart"/>
      <w:r>
        <w:rPr>
          <w:rFonts w:hint="eastAsia"/>
          <w:sz w:val="24"/>
        </w:rPr>
        <w:t>供應商行為守則</w:t>
      </w:r>
      <w:proofErr w:type="spellEnd"/>
      <w:r>
        <w:rPr>
          <w:rFonts w:hint="eastAsia"/>
          <w:sz w:val="24"/>
        </w:rPr>
        <w:t xml:space="preserve"> </w:t>
      </w:r>
    </w:p>
    <w:p w14:paraId="6BA842E0" w14:textId="77777777" w:rsidR="00045FF9" w:rsidRPr="003A60D7" w:rsidRDefault="00045FF9" w:rsidP="00045FF9">
      <w:pPr>
        <w:spacing w:before="99"/>
        <w:contextualSpacing/>
        <w:rPr>
          <w:rFonts w:ascii="Times New Roman" w:hAnsi="Times New Roman" w:cs="Times New Roman"/>
          <w:b/>
        </w:rPr>
      </w:pPr>
      <w:r>
        <w:rPr>
          <w:rFonts w:ascii="Times New Roman" w:hAnsi="Times New Roman" w:hint="eastAsia"/>
          <w:b/>
        </w:rPr>
        <w:t>其他文件：</w:t>
      </w:r>
    </w:p>
    <w:p w14:paraId="311A70C1" w14:textId="77777777" w:rsidR="00045FF9" w:rsidRPr="003A60D7" w:rsidRDefault="00045FF9" w:rsidP="00045FF9">
      <w:pPr>
        <w:spacing w:before="13"/>
        <w:contextualSpacing/>
        <w:rPr>
          <w:rFonts w:ascii="Times New Roman" w:hAnsi="Times New Roman" w:cs="Times New Roman"/>
        </w:rPr>
      </w:pPr>
      <w:r>
        <w:rPr>
          <w:rFonts w:ascii="Times New Roman" w:hAnsi="Times New Roman" w:hint="eastAsia"/>
        </w:rPr>
        <w:t>無</w:t>
      </w:r>
    </w:p>
    <w:p w14:paraId="5E646CCF" w14:textId="77777777" w:rsidR="00045FF9" w:rsidRPr="003A60D7" w:rsidRDefault="00045FF9" w:rsidP="00045FF9">
      <w:pPr>
        <w:spacing w:before="100"/>
        <w:contextualSpacing/>
        <w:rPr>
          <w:rFonts w:ascii="Times New Roman" w:hAnsi="Times New Roman" w:cs="Times New Roman"/>
          <w:b/>
        </w:rPr>
      </w:pPr>
      <w:r>
        <w:rPr>
          <w:rFonts w:ascii="Times New Roman" w:hAnsi="Times New Roman" w:hint="eastAsia"/>
          <w:b/>
        </w:rPr>
        <w:t>相關連結：</w:t>
      </w:r>
    </w:p>
    <w:p w14:paraId="4DAF3317" w14:textId="77777777" w:rsidR="00045FF9" w:rsidRPr="003A60D7" w:rsidRDefault="00045FF9" w:rsidP="00045FF9">
      <w:pPr>
        <w:spacing w:before="13"/>
        <w:contextualSpacing/>
        <w:rPr>
          <w:rFonts w:ascii="Times New Roman" w:hAnsi="Times New Roman" w:cs="Times New Roman"/>
          <w:w w:val="110"/>
        </w:rPr>
      </w:pPr>
      <w:r>
        <w:rPr>
          <w:rFonts w:ascii="Times New Roman" w:hAnsi="Times New Roman" w:hint="eastAsia"/>
        </w:rPr>
        <w:t>無</w:t>
      </w:r>
    </w:p>
    <w:p w14:paraId="5547D6CA" w14:textId="77777777" w:rsidR="00045FF9" w:rsidRPr="003A60D7" w:rsidRDefault="00045FF9" w:rsidP="00045FF9">
      <w:pPr>
        <w:spacing w:before="13"/>
        <w:contextualSpacing/>
        <w:rPr>
          <w:rFonts w:ascii="Times New Roman" w:hAnsi="Times New Roman" w:cs="Times New Roman"/>
          <w:w w:val="110"/>
        </w:rPr>
      </w:pPr>
    </w:p>
    <w:tbl>
      <w:tblPr>
        <w:tblStyle w:val="TableGrid"/>
        <w:tblW w:w="9360" w:type="dxa"/>
        <w:tblInd w:w="108" w:type="dxa"/>
        <w:tblLook w:val="04A0" w:firstRow="1" w:lastRow="0" w:firstColumn="1" w:lastColumn="0" w:noHBand="0" w:noVBand="1"/>
      </w:tblPr>
      <w:tblGrid>
        <w:gridCol w:w="9360"/>
      </w:tblGrid>
      <w:tr w:rsidR="00045FF9" w:rsidRPr="003A60D7" w14:paraId="0BA723E3" w14:textId="77777777" w:rsidTr="009E7712">
        <w:tc>
          <w:tcPr>
            <w:tcW w:w="9360" w:type="dxa"/>
          </w:tcPr>
          <w:p w14:paraId="4007F0A1" w14:textId="77777777" w:rsidR="00045FF9" w:rsidRPr="003A60D7" w:rsidRDefault="00045FF9" w:rsidP="009E7712">
            <w:pPr>
              <w:spacing w:before="13"/>
              <w:contextualSpacing/>
              <w:rPr>
                <w:rFonts w:ascii="Times New Roman" w:hAnsi="Times New Roman" w:cs="Times New Roman"/>
                <w:b/>
                <w:bCs/>
                <w:w w:val="110"/>
              </w:rPr>
            </w:pPr>
            <w:r>
              <w:rPr>
                <w:rFonts w:ascii="Times New Roman" w:hAnsi="Times New Roman" w:hint="eastAsia"/>
                <w:b/>
              </w:rPr>
              <w:lastRenderedPageBreak/>
              <w:t>修訂記錄</w:t>
            </w:r>
          </w:p>
        </w:tc>
      </w:tr>
    </w:tbl>
    <w:p w14:paraId="26187550" w14:textId="77777777" w:rsidR="00045FF9" w:rsidRPr="003A60D7" w:rsidRDefault="00045FF9" w:rsidP="00045FF9">
      <w:pPr>
        <w:spacing w:before="13"/>
        <w:contextualSpacing/>
        <w:rPr>
          <w:rFonts w:ascii="Times New Roman" w:hAnsi="Times New Roman" w:cs="Times New Roman"/>
          <w:w w:val="105"/>
        </w:rPr>
      </w:pPr>
    </w:p>
    <w:p w14:paraId="13593A3C" w14:textId="4B8B22DC" w:rsidR="00045FF9" w:rsidRPr="003A60D7" w:rsidRDefault="00DA0B59" w:rsidP="00045FF9">
      <w:pPr>
        <w:tabs>
          <w:tab w:val="left" w:pos="2332"/>
        </w:tabs>
        <w:spacing w:before="103"/>
        <w:contextualSpacing/>
        <w:rPr>
          <w:rFonts w:ascii="Times New Roman" w:hAnsi="Times New Roman" w:cs="Times New Roman"/>
          <w:w w:val="105"/>
        </w:rPr>
      </w:pPr>
      <w:r>
        <w:rPr>
          <w:rFonts w:ascii="Times New Roman" w:hAnsi="Times New Roman" w:hint="eastAsia"/>
          <w:b/>
        </w:rPr>
        <w:t xml:space="preserve">2022 </w:t>
      </w:r>
      <w:r>
        <w:rPr>
          <w:rFonts w:ascii="Times New Roman" w:hAnsi="Times New Roman" w:hint="eastAsia"/>
          <w:b/>
        </w:rPr>
        <w:t>年</w:t>
      </w:r>
      <w:r>
        <w:rPr>
          <w:rFonts w:ascii="Times New Roman" w:hAnsi="Times New Roman" w:hint="eastAsia"/>
          <w:b/>
        </w:rPr>
        <w:t xml:space="preserve"> 8 </w:t>
      </w:r>
      <w:r>
        <w:rPr>
          <w:rFonts w:ascii="Times New Roman" w:hAnsi="Times New Roman" w:hint="eastAsia"/>
          <w:b/>
        </w:rPr>
        <w:t>月</w:t>
      </w:r>
      <w:r>
        <w:rPr>
          <w:rFonts w:ascii="Times New Roman" w:hAnsi="Times New Roman" w:hint="eastAsia"/>
        </w:rPr>
        <w:tab/>
      </w:r>
      <w:r>
        <w:rPr>
          <w:rFonts w:ascii="Times New Roman" w:hAnsi="Times New Roman" w:hint="eastAsia"/>
        </w:rPr>
        <w:t>建立政策以供審批。</w:t>
      </w:r>
    </w:p>
    <w:p w14:paraId="30F15AD1" w14:textId="77777777" w:rsidR="00045FF9" w:rsidRPr="00883412" w:rsidRDefault="00045FF9" w:rsidP="00045FF9">
      <w:pPr>
        <w:pStyle w:val="BodyText"/>
        <w:tabs>
          <w:tab w:val="left" w:pos="2340"/>
        </w:tabs>
        <w:contextualSpacing/>
        <w:rPr>
          <w:rFonts w:ascii="Times New Roman" w:hAnsi="Times New Roman" w:cs="Times New Roman"/>
          <w:bCs/>
          <w:sz w:val="22"/>
          <w:szCs w:val="22"/>
        </w:rPr>
      </w:pPr>
    </w:p>
    <w:tbl>
      <w:tblPr>
        <w:tblStyle w:val="TableGrid"/>
        <w:tblW w:w="0" w:type="auto"/>
        <w:tblInd w:w="108" w:type="dxa"/>
        <w:tblLook w:val="04A0" w:firstRow="1" w:lastRow="0" w:firstColumn="1" w:lastColumn="0" w:noHBand="0" w:noVBand="1"/>
      </w:tblPr>
      <w:tblGrid>
        <w:gridCol w:w="9242"/>
      </w:tblGrid>
      <w:tr w:rsidR="00045FF9" w:rsidRPr="003A60D7" w14:paraId="4B72894C" w14:textId="77777777" w:rsidTr="009E7712">
        <w:tc>
          <w:tcPr>
            <w:tcW w:w="9360" w:type="dxa"/>
          </w:tcPr>
          <w:p w14:paraId="3635DD2B" w14:textId="77777777" w:rsidR="00045FF9" w:rsidRPr="003A60D7" w:rsidRDefault="00045FF9" w:rsidP="009E7712">
            <w:pPr>
              <w:pStyle w:val="BodyText"/>
              <w:spacing w:before="6"/>
              <w:contextualSpacing/>
              <w:rPr>
                <w:rFonts w:ascii="Times New Roman" w:hAnsi="Times New Roman" w:cs="Times New Roman"/>
                <w:bCs/>
                <w:sz w:val="22"/>
                <w:szCs w:val="22"/>
              </w:rPr>
            </w:pPr>
            <w:r>
              <w:rPr>
                <w:rFonts w:ascii="Times New Roman" w:hAnsi="Times New Roman" w:hint="eastAsia"/>
                <w:b/>
                <w:sz w:val="22"/>
              </w:rPr>
              <w:t>負責高管</w:t>
            </w:r>
          </w:p>
        </w:tc>
      </w:tr>
    </w:tbl>
    <w:p w14:paraId="0409F7D0"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0D7499D1"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4D3DA3B1"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50BDA30D" w14:textId="41CD5768" w:rsidR="00045FF9" w:rsidRPr="003A60D7" w:rsidRDefault="009129CB" w:rsidP="00045FF9">
      <w:pPr>
        <w:pStyle w:val="BodyText"/>
        <w:spacing w:before="6"/>
        <w:contextualSpacing/>
        <w:rPr>
          <w:rFonts w:ascii="Times New Roman" w:hAnsi="Times New Roman" w:cs="Times New Roman"/>
          <w:bCs/>
          <w:sz w:val="22"/>
          <w:szCs w:val="22"/>
        </w:rPr>
      </w:pPr>
      <w:r>
        <w:rPr>
          <w:noProof/>
        </w:rPr>
        <w:drawing>
          <wp:inline distT="0" distB="0" distL="0" distR="0" wp14:anchorId="7D9F05E5" wp14:editId="58B22F94">
            <wp:extent cx="18192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p>
    <w:p w14:paraId="16251D31" w14:textId="77777777" w:rsidR="00045FF9" w:rsidRPr="003A60D7" w:rsidRDefault="00045FF9" w:rsidP="00045FF9">
      <w:pPr>
        <w:pStyle w:val="BodyText"/>
        <w:spacing w:before="5"/>
        <w:contextualSpacing/>
        <w:rPr>
          <w:rFonts w:ascii="Times New Roman" w:hAnsi="Times New Roman" w:cs="Times New Roman"/>
          <w:b/>
          <w:sz w:val="22"/>
          <w:szCs w:val="22"/>
          <w:u w:val="single"/>
        </w:rPr>
      </w:pP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p>
    <w:p w14:paraId="28DD90C2" w14:textId="77777777" w:rsidR="00045FF9" w:rsidRPr="003A60D7" w:rsidRDefault="00045FF9" w:rsidP="00045FF9">
      <w:pPr>
        <w:pStyle w:val="BodyText"/>
        <w:spacing w:before="5"/>
        <w:contextualSpacing/>
        <w:rPr>
          <w:rFonts w:ascii="Times New Roman" w:hAnsi="Times New Roman" w:cs="Times New Roman"/>
          <w:bCs/>
          <w:sz w:val="22"/>
          <w:szCs w:val="22"/>
        </w:rPr>
      </w:pPr>
      <w:r>
        <w:rPr>
          <w:rFonts w:ascii="Times New Roman" w:hAnsi="Times New Roman" w:hint="eastAsia"/>
          <w:sz w:val="22"/>
        </w:rPr>
        <w:t>Ehsan Zargar</w:t>
      </w:r>
    </w:p>
    <w:p w14:paraId="57071F8B" w14:textId="77777777" w:rsidR="00045FF9" w:rsidRPr="003A60D7" w:rsidRDefault="00045FF9" w:rsidP="00045FF9">
      <w:pPr>
        <w:pStyle w:val="BodyText"/>
        <w:spacing w:before="5"/>
        <w:contextualSpacing/>
        <w:rPr>
          <w:rFonts w:ascii="Times New Roman" w:hAnsi="Times New Roman" w:cs="Times New Roman"/>
          <w:bCs/>
          <w:sz w:val="22"/>
          <w:szCs w:val="22"/>
        </w:rPr>
      </w:pPr>
      <w:r>
        <w:rPr>
          <w:rFonts w:ascii="Times New Roman" w:hAnsi="Times New Roman" w:hint="eastAsia"/>
          <w:sz w:val="22"/>
        </w:rPr>
        <w:t>執行副總裁、總法律顧問兼公司秘書</w:t>
      </w:r>
    </w:p>
    <w:p w14:paraId="2B071756" w14:textId="77777777" w:rsidR="001D00FE" w:rsidRDefault="001D00FE"/>
    <w:sectPr w:rsidR="001D00FE" w:rsidSect="003B5E8F">
      <w:headerReference w:type="default" r:id="rId11"/>
      <w:footerReference w:type="default" r:id="rId12"/>
      <w:pgSz w:w="12240" w:h="15840"/>
      <w:pgMar w:top="1440" w:right="1440" w:bottom="1440" w:left="144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85775" w14:textId="77777777" w:rsidR="00FB0B18" w:rsidRDefault="00FB0B18">
      <w:r>
        <w:separator/>
      </w:r>
    </w:p>
  </w:endnote>
  <w:endnote w:type="continuationSeparator" w:id="0">
    <w:p w14:paraId="3E65CC86" w14:textId="77777777" w:rsidR="00FB0B18" w:rsidRDefault="00FB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616832"/>
      <w:docPartObj>
        <w:docPartGallery w:val="Page Numbers (Bottom of Page)"/>
        <w:docPartUnique/>
      </w:docPartObj>
    </w:sdtPr>
    <w:sdtEndPr>
      <w:rPr>
        <w:noProof/>
      </w:rPr>
    </w:sdtEndPr>
    <w:sdtContent>
      <w:p w14:paraId="64301770" w14:textId="77777777" w:rsidR="003B5E8F" w:rsidRDefault="005B496A">
        <w:pPr>
          <w:pStyle w:val="Footer"/>
          <w:jc w:val="center"/>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sdtContent>
  </w:sdt>
  <w:p w14:paraId="24000A0B" w14:textId="77777777" w:rsidR="00FE1ABD" w:rsidRDefault="009129CB">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2F47F" w14:textId="77777777" w:rsidR="00FB0B18" w:rsidRDefault="00FB0B18">
      <w:r>
        <w:separator/>
      </w:r>
    </w:p>
  </w:footnote>
  <w:footnote w:type="continuationSeparator" w:id="0">
    <w:p w14:paraId="51A1FC01" w14:textId="77777777" w:rsidR="00FB0B18" w:rsidRDefault="00FB0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2CC8" w14:textId="77777777" w:rsidR="00FE1ABD" w:rsidRDefault="009129C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065FB"/>
    <w:multiLevelType w:val="multilevel"/>
    <w:tmpl w:val="4590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73D2"/>
    <w:multiLevelType w:val="hybridMultilevel"/>
    <w:tmpl w:val="3778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4886"/>
    <w:multiLevelType w:val="hybridMultilevel"/>
    <w:tmpl w:val="602615BE"/>
    <w:lvl w:ilvl="0" w:tplc="D220B762">
      <w:start w:val="1"/>
      <w:numFmt w:val="upperRoman"/>
      <w:lvlText w:val="%1."/>
      <w:lvlJc w:val="left"/>
      <w:pPr>
        <w:ind w:left="860" w:hanging="720"/>
      </w:pPr>
      <w:rPr>
        <w:rFonts w:ascii="Garamond" w:eastAsia="Garamond" w:hAnsi="Garamond" w:cs="Garamond" w:hint="default"/>
        <w:b/>
        <w:bCs/>
        <w:spacing w:val="-1"/>
        <w:w w:val="100"/>
        <w:sz w:val="24"/>
        <w:szCs w:val="24"/>
      </w:rPr>
    </w:lvl>
    <w:lvl w:ilvl="1" w:tplc="04090015">
      <w:start w:val="1"/>
      <w:numFmt w:val="upperLetter"/>
      <w:lvlText w:val="%2."/>
      <w:lvlJc w:val="left"/>
      <w:pPr>
        <w:ind w:left="860" w:hanging="360"/>
      </w:pPr>
      <w:rPr>
        <w:rFonts w:hint="default"/>
        <w:w w:val="100"/>
        <w:sz w:val="24"/>
        <w:szCs w:val="24"/>
      </w:rPr>
    </w:lvl>
    <w:lvl w:ilvl="2" w:tplc="3530E2EC">
      <w:numFmt w:val="bullet"/>
      <w:lvlText w:val="•"/>
      <w:lvlJc w:val="left"/>
      <w:pPr>
        <w:ind w:left="2640" w:hanging="360"/>
      </w:pPr>
      <w:rPr>
        <w:rFonts w:hint="default"/>
      </w:rPr>
    </w:lvl>
    <w:lvl w:ilvl="3" w:tplc="0754868A">
      <w:numFmt w:val="bullet"/>
      <w:lvlText w:val="•"/>
      <w:lvlJc w:val="left"/>
      <w:pPr>
        <w:ind w:left="3530" w:hanging="360"/>
      </w:pPr>
      <w:rPr>
        <w:rFonts w:hint="default"/>
      </w:rPr>
    </w:lvl>
    <w:lvl w:ilvl="4" w:tplc="CE2A9F38">
      <w:numFmt w:val="bullet"/>
      <w:lvlText w:val="•"/>
      <w:lvlJc w:val="left"/>
      <w:pPr>
        <w:ind w:left="4420" w:hanging="360"/>
      </w:pPr>
      <w:rPr>
        <w:rFonts w:hint="default"/>
      </w:rPr>
    </w:lvl>
    <w:lvl w:ilvl="5" w:tplc="D160D686">
      <w:numFmt w:val="bullet"/>
      <w:lvlText w:val="•"/>
      <w:lvlJc w:val="left"/>
      <w:pPr>
        <w:ind w:left="5310" w:hanging="360"/>
      </w:pPr>
      <w:rPr>
        <w:rFonts w:hint="default"/>
      </w:rPr>
    </w:lvl>
    <w:lvl w:ilvl="6" w:tplc="5F92F242">
      <w:numFmt w:val="bullet"/>
      <w:lvlText w:val="•"/>
      <w:lvlJc w:val="left"/>
      <w:pPr>
        <w:ind w:left="6200" w:hanging="360"/>
      </w:pPr>
      <w:rPr>
        <w:rFonts w:hint="default"/>
      </w:rPr>
    </w:lvl>
    <w:lvl w:ilvl="7" w:tplc="8482031E">
      <w:numFmt w:val="bullet"/>
      <w:lvlText w:val="•"/>
      <w:lvlJc w:val="left"/>
      <w:pPr>
        <w:ind w:left="7090" w:hanging="360"/>
      </w:pPr>
      <w:rPr>
        <w:rFonts w:hint="default"/>
      </w:rPr>
    </w:lvl>
    <w:lvl w:ilvl="8" w:tplc="F1B43E34">
      <w:numFmt w:val="bullet"/>
      <w:lvlText w:val="•"/>
      <w:lvlJc w:val="left"/>
      <w:pPr>
        <w:ind w:left="7980" w:hanging="360"/>
      </w:pPr>
      <w:rPr>
        <w:rFonts w:hint="default"/>
      </w:rPr>
    </w:lvl>
  </w:abstractNum>
  <w:abstractNum w:abstractNumId="3" w15:restartNumberingAfterBreak="0">
    <w:nsid w:val="5D344B65"/>
    <w:multiLevelType w:val="multilevel"/>
    <w:tmpl w:val="5A701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F9"/>
    <w:rsid w:val="0000542E"/>
    <w:rsid w:val="00026666"/>
    <w:rsid w:val="00045FF9"/>
    <w:rsid w:val="00061B30"/>
    <w:rsid w:val="00071E46"/>
    <w:rsid w:val="0007294D"/>
    <w:rsid w:val="000871CB"/>
    <w:rsid w:val="00087D6C"/>
    <w:rsid w:val="00095F22"/>
    <w:rsid w:val="00095FC2"/>
    <w:rsid w:val="000B28E6"/>
    <w:rsid w:val="001000A4"/>
    <w:rsid w:val="00106FF8"/>
    <w:rsid w:val="00145C84"/>
    <w:rsid w:val="00181F9D"/>
    <w:rsid w:val="00185CE7"/>
    <w:rsid w:val="00192C07"/>
    <w:rsid w:val="001B23E8"/>
    <w:rsid w:val="001D00FE"/>
    <w:rsid w:val="001D0697"/>
    <w:rsid w:val="00205BA9"/>
    <w:rsid w:val="0021666A"/>
    <w:rsid w:val="00225F92"/>
    <w:rsid w:val="00235066"/>
    <w:rsid w:val="00246BF0"/>
    <w:rsid w:val="00271FF1"/>
    <w:rsid w:val="0027442C"/>
    <w:rsid w:val="00275DFF"/>
    <w:rsid w:val="00276D90"/>
    <w:rsid w:val="0029390E"/>
    <w:rsid w:val="00296C0C"/>
    <w:rsid w:val="002B6A88"/>
    <w:rsid w:val="002E38DD"/>
    <w:rsid w:val="002F3C58"/>
    <w:rsid w:val="003027E6"/>
    <w:rsid w:val="00323CFF"/>
    <w:rsid w:val="003305A6"/>
    <w:rsid w:val="00340B0A"/>
    <w:rsid w:val="0034650C"/>
    <w:rsid w:val="00364D5F"/>
    <w:rsid w:val="00375E8E"/>
    <w:rsid w:val="003763E3"/>
    <w:rsid w:val="003806A0"/>
    <w:rsid w:val="003B0C50"/>
    <w:rsid w:val="003F1CAD"/>
    <w:rsid w:val="003F7C8A"/>
    <w:rsid w:val="00431557"/>
    <w:rsid w:val="00463385"/>
    <w:rsid w:val="00466526"/>
    <w:rsid w:val="00471D64"/>
    <w:rsid w:val="0049237B"/>
    <w:rsid w:val="0049698C"/>
    <w:rsid w:val="004A02B6"/>
    <w:rsid w:val="004A1B58"/>
    <w:rsid w:val="004A2CC8"/>
    <w:rsid w:val="004B192C"/>
    <w:rsid w:val="004B33CA"/>
    <w:rsid w:val="004E560D"/>
    <w:rsid w:val="004F5EF3"/>
    <w:rsid w:val="005034A4"/>
    <w:rsid w:val="00512EAE"/>
    <w:rsid w:val="0055212D"/>
    <w:rsid w:val="005537E4"/>
    <w:rsid w:val="005910FF"/>
    <w:rsid w:val="00593BA1"/>
    <w:rsid w:val="005B496A"/>
    <w:rsid w:val="005C1647"/>
    <w:rsid w:val="005E2DE1"/>
    <w:rsid w:val="00601626"/>
    <w:rsid w:val="00625FE6"/>
    <w:rsid w:val="00641B85"/>
    <w:rsid w:val="0066186C"/>
    <w:rsid w:val="00685AA5"/>
    <w:rsid w:val="00696C5A"/>
    <w:rsid w:val="006973C5"/>
    <w:rsid w:val="00697F1B"/>
    <w:rsid w:val="006B74AC"/>
    <w:rsid w:val="006D45EC"/>
    <w:rsid w:val="0071718E"/>
    <w:rsid w:val="0072233E"/>
    <w:rsid w:val="00726E41"/>
    <w:rsid w:val="0073115D"/>
    <w:rsid w:val="00753BC5"/>
    <w:rsid w:val="00764232"/>
    <w:rsid w:val="007C6042"/>
    <w:rsid w:val="007E5475"/>
    <w:rsid w:val="007F2295"/>
    <w:rsid w:val="007F2B2C"/>
    <w:rsid w:val="00804669"/>
    <w:rsid w:val="00836B1E"/>
    <w:rsid w:val="00836C1F"/>
    <w:rsid w:val="008650DF"/>
    <w:rsid w:val="00873FD3"/>
    <w:rsid w:val="00895FD3"/>
    <w:rsid w:val="008B2BC5"/>
    <w:rsid w:val="008C242B"/>
    <w:rsid w:val="008C3104"/>
    <w:rsid w:val="008D398E"/>
    <w:rsid w:val="00910009"/>
    <w:rsid w:val="00910216"/>
    <w:rsid w:val="009129CB"/>
    <w:rsid w:val="00920674"/>
    <w:rsid w:val="00942058"/>
    <w:rsid w:val="00971A4F"/>
    <w:rsid w:val="00973DEC"/>
    <w:rsid w:val="00986018"/>
    <w:rsid w:val="009B04D4"/>
    <w:rsid w:val="009B12B2"/>
    <w:rsid w:val="009C6AAE"/>
    <w:rsid w:val="009D78A0"/>
    <w:rsid w:val="00A1022F"/>
    <w:rsid w:val="00A17C70"/>
    <w:rsid w:val="00A35CBA"/>
    <w:rsid w:val="00A36369"/>
    <w:rsid w:val="00A474CF"/>
    <w:rsid w:val="00A47C10"/>
    <w:rsid w:val="00A773C8"/>
    <w:rsid w:val="00A80235"/>
    <w:rsid w:val="00A8645B"/>
    <w:rsid w:val="00A87F1E"/>
    <w:rsid w:val="00A91B20"/>
    <w:rsid w:val="00A975C4"/>
    <w:rsid w:val="00AA7D80"/>
    <w:rsid w:val="00AB1C0F"/>
    <w:rsid w:val="00AD5947"/>
    <w:rsid w:val="00AD6846"/>
    <w:rsid w:val="00B0592A"/>
    <w:rsid w:val="00B0627B"/>
    <w:rsid w:val="00B071E5"/>
    <w:rsid w:val="00B1349F"/>
    <w:rsid w:val="00B5092D"/>
    <w:rsid w:val="00B511D3"/>
    <w:rsid w:val="00B5742C"/>
    <w:rsid w:val="00B6650E"/>
    <w:rsid w:val="00B7529F"/>
    <w:rsid w:val="00B909DC"/>
    <w:rsid w:val="00B94D47"/>
    <w:rsid w:val="00B96879"/>
    <w:rsid w:val="00BA0885"/>
    <w:rsid w:val="00BB7828"/>
    <w:rsid w:val="00BC0826"/>
    <w:rsid w:val="00BF4C2D"/>
    <w:rsid w:val="00BF79DE"/>
    <w:rsid w:val="00C16830"/>
    <w:rsid w:val="00C662C3"/>
    <w:rsid w:val="00C71448"/>
    <w:rsid w:val="00C808EC"/>
    <w:rsid w:val="00CA2BEB"/>
    <w:rsid w:val="00CA63E4"/>
    <w:rsid w:val="00CB489B"/>
    <w:rsid w:val="00CD2632"/>
    <w:rsid w:val="00CD6326"/>
    <w:rsid w:val="00D00693"/>
    <w:rsid w:val="00D17FBD"/>
    <w:rsid w:val="00D40999"/>
    <w:rsid w:val="00D4655F"/>
    <w:rsid w:val="00D54444"/>
    <w:rsid w:val="00D6642E"/>
    <w:rsid w:val="00DA0B59"/>
    <w:rsid w:val="00DB48C3"/>
    <w:rsid w:val="00DB7FE8"/>
    <w:rsid w:val="00DC0AEB"/>
    <w:rsid w:val="00DD14CC"/>
    <w:rsid w:val="00DD5047"/>
    <w:rsid w:val="00DE06F8"/>
    <w:rsid w:val="00DE2E3A"/>
    <w:rsid w:val="00DE4EF2"/>
    <w:rsid w:val="00DE5280"/>
    <w:rsid w:val="00E02DF7"/>
    <w:rsid w:val="00E159DD"/>
    <w:rsid w:val="00E35263"/>
    <w:rsid w:val="00E44382"/>
    <w:rsid w:val="00E46CFD"/>
    <w:rsid w:val="00E47999"/>
    <w:rsid w:val="00E66A16"/>
    <w:rsid w:val="00E82677"/>
    <w:rsid w:val="00EB2EAC"/>
    <w:rsid w:val="00EC4DB7"/>
    <w:rsid w:val="00ED175C"/>
    <w:rsid w:val="00ED5B92"/>
    <w:rsid w:val="00EF21C3"/>
    <w:rsid w:val="00F01F05"/>
    <w:rsid w:val="00F02382"/>
    <w:rsid w:val="00F05EF4"/>
    <w:rsid w:val="00F41D1C"/>
    <w:rsid w:val="00F45D10"/>
    <w:rsid w:val="00F6105E"/>
    <w:rsid w:val="00F806D9"/>
    <w:rsid w:val="00F92B55"/>
    <w:rsid w:val="00FB0B18"/>
    <w:rsid w:val="00FD1805"/>
    <w:rsid w:val="00FD5340"/>
    <w:rsid w:val="00FE38B8"/>
    <w:rsid w:val="00FE6C84"/>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BAD"/>
  <w15:chartTrackingRefBased/>
  <w15:docId w15:val="{2F2ED626-7368-4EFA-BFFA-89930448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F9"/>
    <w:pPr>
      <w:widowControl w:val="0"/>
      <w:autoSpaceDE w:val="0"/>
      <w:autoSpaceDN w:val="0"/>
      <w:spacing w:after="0" w:line="240" w:lineRule="auto"/>
    </w:pPr>
    <w:rPr>
      <w:rFonts w:ascii="Garamond" w:eastAsia="PMingLiU" w:hAnsi="Garamond" w:cs="Garamond"/>
    </w:rPr>
  </w:style>
  <w:style w:type="paragraph" w:styleId="Heading1">
    <w:name w:val="heading 1"/>
    <w:basedOn w:val="Normal"/>
    <w:link w:val="Heading1Char"/>
    <w:uiPriority w:val="9"/>
    <w:qFormat/>
    <w:rsid w:val="00045FF9"/>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F9"/>
    <w:rPr>
      <w:rFonts w:ascii="Garamond" w:eastAsia="PMingLiU" w:hAnsi="Garamond" w:cs="Garamond"/>
      <w:b/>
      <w:bCs/>
      <w:sz w:val="24"/>
      <w:szCs w:val="24"/>
    </w:rPr>
  </w:style>
  <w:style w:type="paragraph" w:styleId="BodyText">
    <w:name w:val="Body Text"/>
    <w:basedOn w:val="Normal"/>
    <w:link w:val="BodyTextChar"/>
    <w:uiPriority w:val="1"/>
    <w:qFormat/>
    <w:rsid w:val="00045FF9"/>
    <w:rPr>
      <w:sz w:val="24"/>
      <w:szCs w:val="24"/>
    </w:rPr>
  </w:style>
  <w:style w:type="character" w:customStyle="1" w:styleId="BodyTextChar">
    <w:name w:val="Body Text Char"/>
    <w:basedOn w:val="DefaultParagraphFont"/>
    <w:link w:val="BodyText"/>
    <w:uiPriority w:val="1"/>
    <w:rsid w:val="00045FF9"/>
    <w:rPr>
      <w:rFonts w:ascii="Garamond" w:eastAsia="PMingLiU" w:hAnsi="Garamond" w:cs="Garamond"/>
      <w:sz w:val="24"/>
      <w:szCs w:val="24"/>
    </w:rPr>
  </w:style>
  <w:style w:type="paragraph" w:styleId="Footer">
    <w:name w:val="footer"/>
    <w:basedOn w:val="Normal"/>
    <w:link w:val="FooterChar"/>
    <w:uiPriority w:val="99"/>
    <w:unhideWhenUsed/>
    <w:rsid w:val="00045FF9"/>
    <w:pPr>
      <w:tabs>
        <w:tab w:val="center" w:pos="4680"/>
        <w:tab w:val="right" w:pos="9360"/>
      </w:tabs>
    </w:pPr>
  </w:style>
  <w:style w:type="character" w:customStyle="1" w:styleId="FooterChar">
    <w:name w:val="Footer Char"/>
    <w:basedOn w:val="DefaultParagraphFont"/>
    <w:link w:val="Footer"/>
    <w:uiPriority w:val="99"/>
    <w:rsid w:val="00045FF9"/>
    <w:rPr>
      <w:rFonts w:ascii="Garamond" w:eastAsia="PMingLiU" w:hAnsi="Garamond" w:cs="Garamond"/>
    </w:rPr>
  </w:style>
  <w:style w:type="paragraph" w:styleId="NormalWeb">
    <w:name w:val="Normal (Web)"/>
    <w:basedOn w:val="Normal"/>
    <w:uiPriority w:val="99"/>
    <w:semiHidden/>
    <w:unhideWhenUsed/>
    <w:rsid w:val="00045FF9"/>
    <w:pPr>
      <w:widowControl/>
      <w:autoSpaceDE/>
      <w:autoSpaceDN/>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39"/>
    <w:rsid w:val="00045F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Infotext">
    <w:name w:val="Policy Info text"/>
    <w:basedOn w:val="Normal"/>
    <w:autoRedefine/>
    <w:rsid w:val="00045FF9"/>
    <w:pPr>
      <w:widowControl/>
      <w:autoSpaceDE/>
      <w:autoSpaceDN/>
      <w:ind w:left="180"/>
    </w:pPr>
    <w:rPr>
      <w:rFonts w:eastAsia="Times New Roman" w:cs="Times New Roman"/>
      <w:sz w:val="18"/>
      <w:szCs w:val="20"/>
    </w:rPr>
  </w:style>
  <w:style w:type="character" w:styleId="CommentReference">
    <w:name w:val="annotation reference"/>
    <w:basedOn w:val="DefaultParagraphFont"/>
    <w:uiPriority w:val="99"/>
    <w:semiHidden/>
    <w:unhideWhenUsed/>
    <w:rsid w:val="00045FF9"/>
    <w:rPr>
      <w:sz w:val="16"/>
      <w:szCs w:val="16"/>
    </w:rPr>
  </w:style>
  <w:style w:type="paragraph" w:styleId="CommentText">
    <w:name w:val="annotation text"/>
    <w:basedOn w:val="Normal"/>
    <w:link w:val="CommentTextChar"/>
    <w:uiPriority w:val="99"/>
    <w:semiHidden/>
    <w:unhideWhenUsed/>
    <w:rsid w:val="00045FF9"/>
    <w:rPr>
      <w:sz w:val="20"/>
      <w:szCs w:val="20"/>
    </w:rPr>
  </w:style>
  <w:style w:type="character" w:customStyle="1" w:styleId="CommentTextChar">
    <w:name w:val="Comment Text Char"/>
    <w:basedOn w:val="DefaultParagraphFont"/>
    <w:link w:val="CommentText"/>
    <w:uiPriority w:val="99"/>
    <w:semiHidden/>
    <w:rsid w:val="00045FF9"/>
    <w:rPr>
      <w:rFonts w:ascii="Garamond" w:eastAsia="PMingLiU" w:hAnsi="Garamond" w:cs="Garamond"/>
      <w:sz w:val="20"/>
      <w:szCs w:val="20"/>
    </w:rPr>
  </w:style>
  <w:style w:type="character" w:styleId="Hyperlink">
    <w:name w:val="Hyperlink"/>
    <w:basedOn w:val="DefaultParagraphFont"/>
    <w:uiPriority w:val="99"/>
    <w:unhideWhenUsed/>
    <w:rsid w:val="00045FF9"/>
    <w:rPr>
      <w:color w:val="0000FF"/>
      <w:u w:val="single"/>
    </w:rPr>
  </w:style>
  <w:style w:type="paragraph" w:styleId="CommentSubject">
    <w:name w:val="annotation subject"/>
    <w:basedOn w:val="CommentText"/>
    <w:next w:val="CommentText"/>
    <w:link w:val="CommentSubjectChar"/>
    <w:uiPriority w:val="99"/>
    <w:semiHidden/>
    <w:unhideWhenUsed/>
    <w:rsid w:val="00095FC2"/>
    <w:rPr>
      <w:b/>
      <w:bCs/>
    </w:rPr>
  </w:style>
  <w:style w:type="character" w:customStyle="1" w:styleId="CommentSubjectChar">
    <w:name w:val="Comment Subject Char"/>
    <w:basedOn w:val="CommentTextChar"/>
    <w:link w:val="CommentSubject"/>
    <w:uiPriority w:val="99"/>
    <w:semiHidden/>
    <w:rsid w:val="00095FC2"/>
    <w:rPr>
      <w:rFonts w:ascii="Garamond" w:eastAsia="PMingLiU" w:hAnsi="Garamond" w:cs="Garamond"/>
      <w:b/>
      <w:bCs/>
      <w:sz w:val="20"/>
      <w:szCs w:val="20"/>
    </w:rPr>
  </w:style>
  <w:style w:type="paragraph" w:styleId="Revision">
    <w:name w:val="Revision"/>
    <w:hidden/>
    <w:uiPriority w:val="99"/>
    <w:semiHidden/>
    <w:rsid w:val="0034650C"/>
    <w:pPr>
      <w:spacing w:after="0" w:line="240" w:lineRule="auto"/>
    </w:pPr>
    <w:rPr>
      <w:rFonts w:ascii="Garamond" w:eastAsia="PMingLiU" w:hAnsi="Garamond" w:cs="Garamond"/>
    </w:rPr>
  </w:style>
  <w:style w:type="paragraph" w:styleId="BalloonText">
    <w:name w:val="Balloon Text"/>
    <w:basedOn w:val="Normal"/>
    <w:link w:val="BalloonTextChar"/>
    <w:uiPriority w:val="99"/>
    <w:semiHidden/>
    <w:unhideWhenUsed/>
    <w:rsid w:val="00CA6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3E4"/>
    <w:rPr>
      <w:rFonts w:ascii="Segoe UI" w:eastAsia="PMingLiU" w:hAnsi="Segoe UI" w:cs="Segoe UI"/>
      <w:sz w:val="18"/>
      <w:szCs w:val="18"/>
    </w:rPr>
  </w:style>
  <w:style w:type="character" w:styleId="UnresolvedMention">
    <w:name w:val="Unresolved Mention"/>
    <w:basedOn w:val="DefaultParagraphFont"/>
    <w:uiPriority w:val="99"/>
    <w:semiHidden/>
    <w:unhideWhenUsed/>
    <w:rsid w:val="00C6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57F85.A5D734E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DAAF-49BE-4E5A-B24E-4D38C8F6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2973</Characters>
  <Application>Microsoft Office Word</Application>
  <DocSecurity>0</DocSecurity>
  <Lines>45</Lines>
  <Paragraphs>7</Paragraphs>
  <ScaleCrop>false</ScaleCrop>
  <HeadingPairs>
    <vt:vector size="2" baseType="variant">
      <vt:variant>
        <vt:lpstr>Title</vt:lpstr>
      </vt:variant>
      <vt:variant>
        <vt:i4>1</vt:i4>
      </vt:variant>
    </vt:vector>
  </HeadingPairs>
  <TitlesOfParts>
    <vt:vector size="1" baseType="lpstr">
      <vt:lpstr/>
    </vt:vector>
  </TitlesOfParts>
  <Manager/>
  <Company>ASTA-USA</Company>
  <LinksUpToDate>false</LinksUpToDate>
  <CharactersWithSpaces>3519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Kerry</dc:creator>
  <cp:keywords/>
  <dc:description/>
  <cp:lastModifiedBy>Mohan, Kerry</cp:lastModifiedBy>
  <cp:revision>2</cp:revision>
  <dcterms:created xsi:type="dcterms:W3CDTF">2022-08-30T14:04:00Z</dcterms:created>
  <dcterms:modified xsi:type="dcterms:W3CDTF">2022-08-30T14:04:00Z</dcterms:modified>
  <cp:category/>
</cp:coreProperties>
</file>